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FCA607" w14:textId="77777777" w:rsidR="008425BF" w:rsidRPr="00800FD3" w:rsidRDefault="00270F89" w:rsidP="008425BF">
      <w:pPr>
        <w:jc w:val="center"/>
        <w:rPr>
          <w:b/>
          <w:smallCaps/>
          <w:sz w:val="32"/>
          <w:szCs w:val="32"/>
          <w:lang w:val="en-GB"/>
        </w:rPr>
      </w:pPr>
      <w:r w:rsidRPr="00800FD3">
        <w:rPr>
          <w:b/>
          <w:smallCaps/>
          <w:sz w:val="32"/>
          <w:szCs w:val="32"/>
          <w:lang w:val="en-GB"/>
        </w:rPr>
        <w:t>Regulatory Office for Network Industries</w:t>
      </w:r>
    </w:p>
    <w:p w14:paraId="61AB3497" w14:textId="13A643DA" w:rsidR="008425BF" w:rsidRPr="00686226" w:rsidRDefault="00800FD3" w:rsidP="006D0465">
      <w:pPr>
        <w:pBdr>
          <w:bottom w:val="single" w:sz="12" w:space="1" w:color="auto"/>
        </w:pBdr>
        <w:jc w:val="center"/>
        <w:outlineLvl w:val="0"/>
        <w:rPr>
          <w:bCs/>
          <w:sz w:val="28"/>
          <w:szCs w:val="28"/>
          <w:lang w:val="en-GB"/>
        </w:rPr>
      </w:pPr>
      <w:proofErr w:type="spellStart"/>
      <w:r w:rsidRPr="00686226">
        <w:rPr>
          <w:bCs/>
          <w:sz w:val="28"/>
          <w:szCs w:val="28"/>
          <w:lang w:val="en-GB"/>
        </w:rPr>
        <w:t>Tomášikova</w:t>
      </w:r>
      <w:proofErr w:type="spellEnd"/>
      <w:r w:rsidRPr="00686226">
        <w:rPr>
          <w:bCs/>
          <w:sz w:val="28"/>
          <w:szCs w:val="28"/>
          <w:lang w:val="en-GB"/>
        </w:rPr>
        <w:t xml:space="preserve"> 28C, 821 01 Bratislava 3, </w:t>
      </w:r>
      <w:r w:rsidR="00514D48" w:rsidRPr="00686226">
        <w:rPr>
          <w:bCs/>
          <w:sz w:val="28"/>
          <w:szCs w:val="28"/>
          <w:lang w:val="en-GB"/>
        </w:rPr>
        <w:t>Slovak Republic</w:t>
      </w:r>
    </w:p>
    <w:p w14:paraId="000D63CB" w14:textId="77777777" w:rsidR="00D57BFE" w:rsidRPr="00D57BFE" w:rsidRDefault="00D57BFE" w:rsidP="00D57BFE">
      <w:pPr>
        <w:outlineLvl w:val="0"/>
        <w:rPr>
          <w:b/>
          <w:lang w:val="en-GB"/>
        </w:rPr>
      </w:pPr>
    </w:p>
    <w:p w14:paraId="305C9993" w14:textId="273EB1B3" w:rsidR="00902FC4" w:rsidRDefault="00E56F3A" w:rsidP="00D57BFE">
      <w:pPr>
        <w:outlineLvl w:val="0"/>
        <w:rPr>
          <w:lang w:val="en-GB"/>
        </w:rPr>
      </w:pPr>
      <w:r>
        <w:rPr>
          <w:lang w:val="en-GB"/>
        </w:rPr>
        <w:t xml:space="preserve">                                                                                                                                                                                   </w:t>
      </w:r>
      <w:r w:rsidR="008E76E8">
        <w:rPr>
          <w:lang w:val="en-GB"/>
        </w:rPr>
        <w:t xml:space="preserve">                               </w:t>
      </w:r>
    </w:p>
    <w:p w14:paraId="4D5D3D02" w14:textId="17545FE6" w:rsidR="00D04DAF" w:rsidRPr="00D57BFE" w:rsidRDefault="00D57BFE" w:rsidP="00C522D9">
      <w:pPr>
        <w:jc w:val="both"/>
        <w:rPr>
          <w:b/>
          <w:lang w:val="en-GB"/>
        </w:rPr>
      </w:pPr>
      <w:r w:rsidRPr="00D57BFE">
        <w:rPr>
          <w:b/>
          <w:lang w:val="en-GB"/>
        </w:rPr>
        <w:t xml:space="preserve">Consultation on discounts, multipliers and seasonal factors </w:t>
      </w:r>
      <w:r w:rsidR="00DA3F8F" w:rsidRPr="00D57BFE">
        <w:rPr>
          <w:b/>
          <w:lang w:val="en-GB"/>
        </w:rPr>
        <w:t xml:space="preserve">in </w:t>
      </w:r>
      <w:r w:rsidRPr="00D57BFE">
        <w:rPr>
          <w:b/>
          <w:lang w:val="en-GB"/>
        </w:rPr>
        <w:t>accordance</w:t>
      </w:r>
      <w:r w:rsidR="00057BAF">
        <w:rPr>
          <w:b/>
          <w:lang w:val="en-GB"/>
        </w:rPr>
        <w:t xml:space="preserve"> with </w:t>
      </w:r>
      <w:r w:rsidR="00D04DAF">
        <w:rPr>
          <w:b/>
          <w:lang w:val="en-GB"/>
        </w:rPr>
        <w:t xml:space="preserve">Commission </w:t>
      </w:r>
      <w:r w:rsidR="00DA3F8F" w:rsidRPr="00D57BFE">
        <w:rPr>
          <w:b/>
          <w:lang w:val="en-GB"/>
        </w:rPr>
        <w:t>Regulation (EU) 2017/460 of 16</w:t>
      </w:r>
      <w:r w:rsidR="00282F32" w:rsidRPr="00D57BFE">
        <w:rPr>
          <w:b/>
          <w:lang w:val="en-GB"/>
        </w:rPr>
        <w:t> </w:t>
      </w:r>
      <w:r w:rsidR="00DA3F8F" w:rsidRPr="00D57BFE">
        <w:rPr>
          <w:b/>
          <w:lang w:val="en-GB"/>
        </w:rPr>
        <w:t>March 2017 establishing a network code on harmonised transmission tariff structures for gas</w:t>
      </w:r>
      <w:r w:rsidR="00D04DAF">
        <w:rPr>
          <w:b/>
          <w:lang w:val="en-GB"/>
        </w:rPr>
        <w:t xml:space="preserve"> </w:t>
      </w:r>
      <w:r w:rsidR="00D13581">
        <w:rPr>
          <w:b/>
          <w:lang w:val="en-GB"/>
        </w:rPr>
        <w:t xml:space="preserve">(hereinafter </w:t>
      </w:r>
      <w:r w:rsidR="0030580C">
        <w:rPr>
          <w:b/>
          <w:lang w:val="en-GB"/>
        </w:rPr>
        <w:t xml:space="preserve">also </w:t>
      </w:r>
      <w:r w:rsidR="00D13581">
        <w:rPr>
          <w:b/>
          <w:lang w:val="en-GB"/>
        </w:rPr>
        <w:t xml:space="preserve">referred to as </w:t>
      </w:r>
      <w:r w:rsidR="0030580C">
        <w:rPr>
          <w:b/>
          <w:lang w:val="en-GB"/>
        </w:rPr>
        <w:t xml:space="preserve">the </w:t>
      </w:r>
      <w:r w:rsidR="00D13581">
        <w:rPr>
          <w:b/>
          <w:lang w:val="en-GB"/>
        </w:rPr>
        <w:t>“</w:t>
      </w:r>
      <w:r w:rsidR="0031767A">
        <w:rPr>
          <w:b/>
          <w:lang w:val="en-GB"/>
        </w:rPr>
        <w:t>Consultation</w:t>
      </w:r>
      <w:r w:rsidR="00D13581">
        <w:rPr>
          <w:b/>
          <w:lang w:val="en-GB"/>
        </w:rPr>
        <w:t>”</w:t>
      </w:r>
      <w:r w:rsidR="00956E0E">
        <w:rPr>
          <w:b/>
          <w:lang w:val="en-GB"/>
        </w:rPr>
        <w:t xml:space="preserve"> or “Consultation Document”</w:t>
      </w:r>
      <w:r w:rsidR="00D13581">
        <w:rPr>
          <w:b/>
          <w:lang w:val="en-GB"/>
        </w:rPr>
        <w:t>)</w:t>
      </w:r>
    </w:p>
    <w:p w14:paraId="0CFA43F5" w14:textId="77777777" w:rsidR="00282F32" w:rsidRDefault="00282F32" w:rsidP="00C522D9">
      <w:pPr>
        <w:jc w:val="both"/>
        <w:rPr>
          <w:b/>
          <w:u w:val="single"/>
          <w:lang w:val="en-GB"/>
        </w:rPr>
      </w:pPr>
    </w:p>
    <w:p w14:paraId="40A7F5AB" w14:textId="77777777" w:rsidR="00902FC4" w:rsidRDefault="00902FC4" w:rsidP="00C522D9">
      <w:pPr>
        <w:jc w:val="both"/>
        <w:rPr>
          <w:b/>
          <w:lang w:val="en-GB"/>
        </w:rPr>
      </w:pPr>
    </w:p>
    <w:p w14:paraId="06888228" w14:textId="124C9F13" w:rsidR="00C92B9C" w:rsidRPr="00E56F3A" w:rsidRDefault="00956E0E" w:rsidP="00C522D9">
      <w:pPr>
        <w:jc w:val="both"/>
        <w:rPr>
          <w:b/>
          <w:u w:val="single"/>
          <w:lang w:val="en-GB"/>
        </w:rPr>
      </w:pPr>
      <w:r>
        <w:rPr>
          <w:b/>
          <w:u w:val="single"/>
          <w:lang w:val="en-GB"/>
        </w:rPr>
        <w:t>Target group</w:t>
      </w:r>
      <w:r w:rsidR="00C92B9C" w:rsidRPr="00E56F3A">
        <w:rPr>
          <w:b/>
          <w:u w:val="single"/>
          <w:lang w:val="en-GB"/>
        </w:rPr>
        <w:t xml:space="preserve"> </w:t>
      </w:r>
    </w:p>
    <w:p w14:paraId="3DF5F4A0" w14:textId="77777777" w:rsidR="00B47065" w:rsidRDefault="00B47065" w:rsidP="00C522D9">
      <w:pPr>
        <w:jc w:val="both"/>
        <w:outlineLvl w:val="0"/>
        <w:rPr>
          <w:lang w:val="en-GB"/>
        </w:rPr>
      </w:pPr>
    </w:p>
    <w:p w14:paraId="1FB66B87" w14:textId="71770165" w:rsidR="008E76E8" w:rsidRDefault="00902FC4" w:rsidP="00C522D9">
      <w:pPr>
        <w:jc w:val="both"/>
        <w:outlineLvl w:val="0"/>
        <w:rPr>
          <w:lang w:val="en-GB"/>
        </w:rPr>
      </w:pPr>
      <w:r>
        <w:rPr>
          <w:lang w:val="en-GB"/>
        </w:rPr>
        <w:t>N</w:t>
      </w:r>
      <w:r w:rsidR="00C92B9C">
        <w:rPr>
          <w:lang w:val="en-GB"/>
        </w:rPr>
        <w:t xml:space="preserve">ational </w:t>
      </w:r>
      <w:r>
        <w:rPr>
          <w:lang w:val="en-GB"/>
        </w:rPr>
        <w:t>r</w:t>
      </w:r>
      <w:r w:rsidR="00C92B9C">
        <w:rPr>
          <w:lang w:val="en-GB"/>
        </w:rPr>
        <w:t xml:space="preserve">egulatory </w:t>
      </w:r>
      <w:r>
        <w:rPr>
          <w:lang w:val="en-GB"/>
        </w:rPr>
        <w:t>a</w:t>
      </w:r>
      <w:r w:rsidR="00C92B9C">
        <w:rPr>
          <w:lang w:val="en-GB"/>
        </w:rPr>
        <w:t>uthorities</w:t>
      </w:r>
      <w:r w:rsidR="00780C9C">
        <w:rPr>
          <w:lang w:val="en-GB"/>
        </w:rPr>
        <w:t xml:space="preserve"> of the directly connected </w:t>
      </w:r>
      <w:r w:rsidR="00A67D8D">
        <w:rPr>
          <w:lang w:val="en-GB"/>
        </w:rPr>
        <w:t xml:space="preserve">EU </w:t>
      </w:r>
      <w:r w:rsidR="00780C9C">
        <w:rPr>
          <w:lang w:val="en-GB"/>
        </w:rPr>
        <w:t>Member States with the Slovak Republic</w:t>
      </w:r>
      <w:r w:rsidR="008E76E8">
        <w:rPr>
          <w:lang w:val="en-GB"/>
        </w:rPr>
        <w:t>, particularly:</w:t>
      </w:r>
    </w:p>
    <w:p w14:paraId="3447E5DF" w14:textId="77777777" w:rsidR="005E577B" w:rsidRPr="00B47065" w:rsidRDefault="005E577B" w:rsidP="00C522D9">
      <w:pPr>
        <w:jc w:val="both"/>
        <w:outlineLvl w:val="0"/>
        <w:rPr>
          <w:lang w:val="en-GB"/>
        </w:rPr>
      </w:pPr>
    </w:p>
    <w:p w14:paraId="454A6EF5" w14:textId="5819867A" w:rsidR="008E76E8" w:rsidRDefault="00A3652B" w:rsidP="00A3652B">
      <w:pPr>
        <w:pStyle w:val="Odsekzoznamu"/>
        <w:numPr>
          <w:ilvl w:val="0"/>
          <w:numId w:val="21"/>
        </w:numPr>
        <w:jc w:val="both"/>
        <w:outlineLvl w:val="0"/>
        <w:rPr>
          <w:lang w:val="en-GB"/>
        </w:rPr>
      </w:pPr>
      <w:r w:rsidRPr="00A3652B">
        <w:rPr>
          <w:lang w:val="en-GB"/>
        </w:rPr>
        <w:t>E-Control</w:t>
      </w:r>
      <w:r w:rsidR="008E76E8" w:rsidRPr="008E76E8">
        <w:rPr>
          <w:lang w:val="en-GB"/>
        </w:rPr>
        <w:t xml:space="preserve">, with its seat at </w:t>
      </w:r>
      <w:proofErr w:type="spellStart"/>
      <w:r w:rsidR="008E76E8" w:rsidRPr="008E76E8">
        <w:rPr>
          <w:lang w:val="en-GB"/>
        </w:rPr>
        <w:t>Rudolfsplatz</w:t>
      </w:r>
      <w:proofErr w:type="spellEnd"/>
      <w:r w:rsidR="008E76E8" w:rsidRPr="008E76E8">
        <w:rPr>
          <w:lang w:val="en-GB"/>
        </w:rPr>
        <w:t xml:space="preserve"> 13a, 1010 Wien, Austria </w:t>
      </w:r>
    </w:p>
    <w:p w14:paraId="538F89C4" w14:textId="77777777" w:rsidR="008E76E8" w:rsidRPr="008E76E8" w:rsidRDefault="008E76E8" w:rsidP="00C522D9">
      <w:pPr>
        <w:pStyle w:val="Odsekzoznamu"/>
        <w:jc w:val="both"/>
        <w:outlineLvl w:val="0"/>
        <w:rPr>
          <w:lang w:val="en-GB"/>
        </w:rPr>
      </w:pPr>
    </w:p>
    <w:p w14:paraId="44A4F919" w14:textId="109D02BC" w:rsidR="008E76E8" w:rsidRDefault="008E76E8" w:rsidP="00A3652B">
      <w:pPr>
        <w:pStyle w:val="Odsekzoznamu"/>
        <w:numPr>
          <w:ilvl w:val="0"/>
          <w:numId w:val="21"/>
        </w:numPr>
        <w:jc w:val="both"/>
        <w:outlineLvl w:val="0"/>
        <w:rPr>
          <w:lang w:val="en-GB"/>
        </w:rPr>
      </w:pPr>
      <w:proofErr w:type="spellStart"/>
      <w:r w:rsidRPr="008E76E8">
        <w:rPr>
          <w:lang w:val="en-GB"/>
        </w:rPr>
        <w:t>Energetický</w:t>
      </w:r>
      <w:proofErr w:type="spellEnd"/>
      <w:r w:rsidRPr="008E76E8">
        <w:rPr>
          <w:lang w:val="en-GB"/>
        </w:rPr>
        <w:t xml:space="preserve"> </w:t>
      </w:r>
      <w:proofErr w:type="spellStart"/>
      <w:r w:rsidRPr="008E76E8">
        <w:rPr>
          <w:lang w:val="en-GB"/>
        </w:rPr>
        <w:t>regulační</w:t>
      </w:r>
      <w:proofErr w:type="spellEnd"/>
      <w:r w:rsidRPr="008E76E8">
        <w:rPr>
          <w:lang w:val="en-GB"/>
        </w:rPr>
        <w:t xml:space="preserve"> </w:t>
      </w:r>
      <w:proofErr w:type="spellStart"/>
      <w:r w:rsidRPr="008E76E8">
        <w:rPr>
          <w:lang w:val="en-GB"/>
        </w:rPr>
        <w:t>úřad</w:t>
      </w:r>
      <w:proofErr w:type="spellEnd"/>
      <w:r w:rsidRPr="008E76E8">
        <w:rPr>
          <w:lang w:val="en-GB"/>
        </w:rPr>
        <w:t xml:space="preserve">, with its seat at </w:t>
      </w:r>
      <w:proofErr w:type="spellStart"/>
      <w:r w:rsidRPr="008E76E8">
        <w:rPr>
          <w:lang w:val="en-GB"/>
        </w:rPr>
        <w:t>Masarykovo</w:t>
      </w:r>
      <w:proofErr w:type="spellEnd"/>
      <w:r w:rsidRPr="008E76E8">
        <w:rPr>
          <w:lang w:val="en-GB"/>
        </w:rPr>
        <w:t xml:space="preserve"> </w:t>
      </w:r>
      <w:proofErr w:type="spellStart"/>
      <w:r w:rsidRPr="008E76E8">
        <w:rPr>
          <w:lang w:val="en-GB"/>
        </w:rPr>
        <w:t>náměstí</w:t>
      </w:r>
      <w:proofErr w:type="spellEnd"/>
      <w:r w:rsidRPr="008E76E8">
        <w:rPr>
          <w:lang w:val="en-GB"/>
        </w:rPr>
        <w:t xml:space="preserve"> </w:t>
      </w:r>
      <w:r w:rsidR="004B6605">
        <w:rPr>
          <w:lang w:val="en-GB"/>
        </w:rPr>
        <w:t>91/</w:t>
      </w:r>
      <w:r w:rsidRPr="008E76E8">
        <w:rPr>
          <w:lang w:val="en-GB"/>
        </w:rPr>
        <w:t xml:space="preserve">5, 586 01 </w:t>
      </w:r>
      <w:proofErr w:type="spellStart"/>
      <w:r w:rsidRPr="008E76E8">
        <w:rPr>
          <w:lang w:val="en-GB"/>
        </w:rPr>
        <w:t>Jihlava</w:t>
      </w:r>
      <w:proofErr w:type="spellEnd"/>
      <w:r w:rsidRPr="008E76E8">
        <w:rPr>
          <w:lang w:val="en-GB"/>
        </w:rPr>
        <w:t xml:space="preserve">, Czech Republic </w:t>
      </w:r>
    </w:p>
    <w:p w14:paraId="07F50635" w14:textId="77777777" w:rsidR="008E76E8" w:rsidRPr="008E76E8" w:rsidRDefault="008E76E8" w:rsidP="00C522D9">
      <w:pPr>
        <w:pStyle w:val="Odsekzoznamu"/>
        <w:jc w:val="both"/>
        <w:rPr>
          <w:lang w:val="en-GB"/>
        </w:rPr>
      </w:pPr>
    </w:p>
    <w:p w14:paraId="5DFBD5BA" w14:textId="205A2611" w:rsidR="008E76E8" w:rsidRDefault="00FD420A" w:rsidP="00A3652B">
      <w:pPr>
        <w:pStyle w:val="Odsekzoznamu"/>
        <w:numPr>
          <w:ilvl w:val="0"/>
          <w:numId w:val="21"/>
        </w:numPr>
        <w:jc w:val="both"/>
        <w:outlineLvl w:val="0"/>
        <w:rPr>
          <w:lang w:val="en-GB"/>
        </w:rPr>
      </w:pPr>
      <w:r w:rsidRPr="00FD420A">
        <w:rPr>
          <w:lang w:val="en-GB"/>
        </w:rPr>
        <w:t xml:space="preserve">Magyar </w:t>
      </w:r>
      <w:proofErr w:type="spellStart"/>
      <w:r w:rsidRPr="00FD420A">
        <w:rPr>
          <w:lang w:val="en-GB"/>
        </w:rPr>
        <w:t>Energetikai</w:t>
      </w:r>
      <w:proofErr w:type="spellEnd"/>
      <w:r w:rsidRPr="00FD420A">
        <w:rPr>
          <w:lang w:val="en-GB"/>
        </w:rPr>
        <w:t xml:space="preserve"> </w:t>
      </w:r>
      <w:proofErr w:type="spellStart"/>
      <w:r w:rsidRPr="00FD420A">
        <w:rPr>
          <w:lang w:val="en-GB"/>
        </w:rPr>
        <w:t>és</w:t>
      </w:r>
      <w:proofErr w:type="spellEnd"/>
      <w:r w:rsidRPr="00FD420A">
        <w:rPr>
          <w:lang w:val="en-GB"/>
        </w:rPr>
        <w:t xml:space="preserve"> </w:t>
      </w:r>
      <w:proofErr w:type="spellStart"/>
      <w:r w:rsidRPr="00FD420A">
        <w:rPr>
          <w:lang w:val="en-GB"/>
        </w:rPr>
        <w:t>Közmű-szabályozási</w:t>
      </w:r>
      <w:proofErr w:type="spellEnd"/>
      <w:r w:rsidRPr="00FD420A">
        <w:rPr>
          <w:lang w:val="en-GB"/>
        </w:rPr>
        <w:t xml:space="preserve"> </w:t>
      </w:r>
      <w:proofErr w:type="spellStart"/>
      <w:r w:rsidRPr="00FD420A">
        <w:rPr>
          <w:lang w:val="en-GB"/>
        </w:rPr>
        <w:t>Hivatal</w:t>
      </w:r>
      <w:proofErr w:type="spellEnd"/>
      <w:r w:rsidR="00433623" w:rsidRPr="00FD420A">
        <w:rPr>
          <w:lang w:val="en-GB"/>
        </w:rPr>
        <w:t>,</w:t>
      </w:r>
      <w:r w:rsidR="00433623">
        <w:rPr>
          <w:lang w:val="en-GB"/>
        </w:rPr>
        <w:t xml:space="preserve"> with its seat at </w:t>
      </w:r>
      <w:r w:rsidR="00433623" w:rsidRPr="00433623">
        <w:rPr>
          <w:lang w:val="en-GB"/>
        </w:rPr>
        <w:t>H-1054 Bu</w:t>
      </w:r>
      <w:r w:rsidR="00433623">
        <w:rPr>
          <w:lang w:val="en-GB"/>
        </w:rPr>
        <w:t xml:space="preserve">dapest, </w:t>
      </w:r>
      <w:proofErr w:type="spellStart"/>
      <w:r w:rsidR="00433623">
        <w:rPr>
          <w:lang w:val="en-GB"/>
        </w:rPr>
        <w:t>Bajcsy-Zsilinszky</w:t>
      </w:r>
      <w:proofErr w:type="spellEnd"/>
      <w:r w:rsidR="00433623">
        <w:rPr>
          <w:lang w:val="en-GB"/>
        </w:rPr>
        <w:t xml:space="preserve"> </w:t>
      </w:r>
      <w:proofErr w:type="spellStart"/>
      <w:r w:rsidR="00433623">
        <w:rPr>
          <w:lang w:val="en-GB"/>
        </w:rPr>
        <w:t>út</w:t>
      </w:r>
      <w:proofErr w:type="spellEnd"/>
      <w:r w:rsidR="00433623">
        <w:rPr>
          <w:lang w:val="en-GB"/>
        </w:rPr>
        <w:t xml:space="preserve"> 52, </w:t>
      </w:r>
      <w:r w:rsidR="00433623" w:rsidRPr="00433623">
        <w:rPr>
          <w:lang w:val="en-GB"/>
        </w:rPr>
        <w:t>H-1388 Budapest, Pf. 8</w:t>
      </w:r>
      <w:r w:rsidR="002744CB">
        <w:rPr>
          <w:lang w:val="en-GB"/>
        </w:rPr>
        <w:t>9</w:t>
      </w:r>
      <w:r w:rsidR="00346CD4">
        <w:rPr>
          <w:lang w:val="en-GB"/>
        </w:rPr>
        <w:t>, Hungary</w:t>
      </w:r>
    </w:p>
    <w:p w14:paraId="21431C6F" w14:textId="77777777" w:rsidR="000A60CB" w:rsidRPr="000A60CB" w:rsidRDefault="000A60CB" w:rsidP="00C522D9">
      <w:pPr>
        <w:pStyle w:val="Odsekzoznamu"/>
        <w:jc w:val="both"/>
        <w:rPr>
          <w:lang w:val="en-GB"/>
        </w:rPr>
      </w:pPr>
    </w:p>
    <w:p w14:paraId="26A69C54" w14:textId="27538A1E" w:rsidR="000A60CB" w:rsidRDefault="0036432C" w:rsidP="00A3652B">
      <w:pPr>
        <w:pStyle w:val="Odsekzoznamu"/>
        <w:numPr>
          <w:ilvl w:val="0"/>
          <w:numId w:val="21"/>
        </w:numPr>
        <w:jc w:val="both"/>
        <w:outlineLvl w:val="0"/>
        <w:rPr>
          <w:lang w:val="en-GB"/>
        </w:rPr>
      </w:pPr>
      <w:proofErr w:type="spellStart"/>
      <w:r w:rsidRPr="0036432C">
        <w:rPr>
          <w:lang w:val="en-GB"/>
        </w:rPr>
        <w:t>U</w:t>
      </w:r>
      <w:r>
        <w:rPr>
          <w:lang w:val="en-GB"/>
        </w:rPr>
        <w:t>rzad</w:t>
      </w:r>
      <w:proofErr w:type="spellEnd"/>
      <w:r>
        <w:rPr>
          <w:lang w:val="en-GB"/>
        </w:rPr>
        <w:t xml:space="preserve"> </w:t>
      </w:r>
      <w:proofErr w:type="spellStart"/>
      <w:r>
        <w:rPr>
          <w:lang w:val="en-GB"/>
        </w:rPr>
        <w:t>Regulacji</w:t>
      </w:r>
      <w:proofErr w:type="spellEnd"/>
      <w:r w:rsidRPr="0036432C">
        <w:rPr>
          <w:lang w:val="en-GB"/>
        </w:rPr>
        <w:t xml:space="preserve"> </w:t>
      </w:r>
      <w:proofErr w:type="spellStart"/>
      <w:r w:rsidRPr="0036432C">
        <w:rPr>
          <w:lang w:val="en-GB"/>
        </w:rPr>
        <w:t>E</w:t>
      </w:r>
      <w:r w:rsidR="002744CB">
        <w:rPr>
          <w:lang w:val="en-GB"/>
        </w:rPr>
        <w:t>nergetyki</w:t>
      </w:r>
      <w:proofErr w:type="spellEnd"/>
      <w:r w:rsidR="002744CB">
        <w:rPr>
          <w:lang w:val="en-GB"/>
        </w:rPr>
        <w:t xml:space="preserve">, </w:t>
      </w:r>
      <w:r>
        <w:rPr>
          <w:lang w:val="en-GB"/>
        </w:rPr>
        <w:t xml:space="preserve">with its seat at </w:t>
      </w:r>
      <w:proofErr w:type="spellStart"/>
      <w:r w:rsidR="00EF0B01" w:rsidRPr="00EF0B01">
        <w:rPr>
          <w:lang w:val="en-GB"/>
        </w:rPr>
        <w:t>Towarowa</w:t>
      </w:r>
      <w:proofErr w:type="spellEnd"/>
      <w:r w:rsidR="00EF0B01" w:rsidRPr="00EF0B01">
        <w:rPr>
          <w:lang w:val="en-GB"/>
        </w:rPr>
        <w:t xml:space="preserve"> 25a, 00-869 </w:t>
      </w:r>
      <w:r w:rsidRPr="0036432C">
        <w:rPr>
          <w:lang w:val="en-GB"/>
        </w:rPr>
        <w:t>Warszawa</w:t>
      </w:r>
      <w:r>
        <w:rPr>
          <w:lang w:val="en-GB"/>
        </w:rPr>
        <w:t>, Poland</w:t>
      </w:r>
    </w:p>
    <w:p w14:paraId="60C7F95D" w14:textId="77777777" w:rsidR="008E76E8" w:rsidRPr="008E76E8" w:rsidRDefault="008E76E8" w:rsidP="00C522D9">
      <w:pPr>
        <w:jc w:val="both"/>
        <w:outlineLvl w:val="0"/>
        <w:rPr>
          <w:lang w:val="en-GB"/>
        </w:rPr>
      </w:pPr>
    </w:p>
    <w:p w14:paraId="28AB2397" w14:textId="2DB20F06" w:rsidR="006313E0" w:rsidRDefault="006313E0" w:rsidP="00C522D9">
      <w:pPr>
        <w:jc w:val="both"/>
        <w:outlineLvl w:val="0"/>
        <w:rPr>
          <w:lang w:val="en-GB"/>
        </w:rPr>
      </w:pPr>
      <w:proofErr w:type="spellStart"/>
      <w:proofErr w:type="gramStart"/>
      <w:r>
        <w:rPr>
          <w:lang w:val="en-GB"/>
        </w:rPr>
        <w:t>eustream</w:t>
      </w:r>
      <w:proofErr w:type="spellEnd"/>
      <w:proofErr w:type="gramEnd"/>
      <w:r>
        <w:rPr>
          <w:lang w:val="en-GB"/>
        </w:rPr>
        <w:t xml:space="preserve">, </w:t>
      </w:r>
      <w:proofErr w:type="spellStart"/>
      <w:r>
        <w:rPr>
          <w:lang w:val="en-GB"/>
        </w:rPr>
        <w:t>a.s</w:t>
      </w:r>
      <w:proofErr w:type="spellEnd"/>
      <w:r>
        <w:rPr>
          <w:lang w:val="en-GB"/>
        </w:rPr>
        <w:t>.</w:t>
      </w:r>
      <w:r w:rsidR="00A6003B">
        <w:rPr>
          <w:lang w:val="en-GB"/>
        </w:rPr>
        <w:t xml:space="preserve"> (transmission system operator)</w:t>
      </w:r>
      <w:r w:rsidR="00EF0B01">
        <w:rPr>
          <w:lang w:val="en-GB"/>
        </w:rPr>
        <w:t xml:space="preserve">, </w:t>
      </w:r>
      <w:r w:rsidR="00EF0B01" w:rsidRPr="00EF0B01">
        <w:rPr>
          <w:lang w:val="en-GB"/>
        </w:rPr>
        <w:t xml:space="preserve">with its seat </w:t>
      </w:r>
      <w:r w:rsidR="00EF0B01">
        <w:rPr>
          <w:lang w:val="en-GB"/>
        </w:rPr>
        <w:t xml:space="preserve">at </w:t>
      </w:r>
      <w:proofErr w:type="spellStart"/>
      <w:r w:rsidR="00EF0B01" w:rsidRPr="00EF0B01">
        <w:rPr>
          <w:lang w:val="en-GB"/>
        </w:rPr>
        <w:t>Votrubova</w:t>
      </w:r>
      <w:proofErr w:type="spellEnd"/>
      <w:r w:rsidR="00EF0B01" w:rsidRPr="00EF0B01">
        <w:rPr>
          <w:lang w:val="en-GB"/>
        </w:rPr>
        <w:t xml:space="preserve"> 11/A, 821 09 Bratislava, Slovak Republic</w:t>
      </w:r>
    </w:p>
    <w:p w14:paraId="4822EF4A" w14:textId="77777777" w:rsidR="006313E0" w:rsidRDefault="006313E0" w:rsidP="00C522D9">
      <w:pPr>
        <w:jc w:val="both"/>
        <w:outlineLvl w:val="0"/>
        <w:rPr>
          <w:lang w:val="en-GB"/>
        </w:rPr>
      </w:pPr>
    </w:p>
    <w:p w14:paraId="72B63D1F" w14:textId="477755CA" w:rsidR="00C92B9C" w:rsidRPr="00D57BFE" w:rsidRDefault="008E76E8" w:rsidP="00C522D9">
      <w:pPr>
        <w:jc w:val="both"/>
        <w:outlineLvl w:val="0"/>
        <w:rPr>
          <w:lang w:val="en-GB"/>
        </w:rPr>
      </w:pPr>
      <w:r>
        <w:rPr>
          <w:lang w:val="en-GB"/>
        </w:rPr>
        <w:t>O</w:t>
      </w:r>
      <w:r w:rsidR="00780C9C">
        <w:rPr>
          <w:lang w:val="en-GB"/>
        </w:rPr>
        <w:t xml:space="preserve">ther </w:t>
      </w:r>
      <w:r w:rsidR="00C92B9C">
        <w:rPr>
          <w:lang w:val="en-GB"/>
        </w:rPr>
        <w:t>relevant s</w:t>
      </w:r>
      <w:r w:rsidR="00C92B9C" w:rsidRPr="00D57BFE">
        <w:rPr>
          <w:lang w:val="en-GB"/>
        </w:rPr>
        <w:t>takeholders</w:t>
      </w:r>
    </w:p>
    <w:p w14:paraId="5453D462" w14:textId="77777777" w:rsidR="00534F2E" w:rsidRDefault="00534F2E" w:rsidP="00C522D9">
      <w:pPr>
        <w:jc w:val="both"/>
        <w:rPr>
          <w:b/>
          <w:lang w:val="en-GB"/>
        </w:rPr>
      </w:pPr>
    </w:p>
    <w:p w14:paraId="2F0792D6" w14:textId="77777777" w:rsidR="00902FC4" w:rsidRDefault="00902FC4" w:rsidP="00C522D9">
      <w:pPr>
        <w:jc w:val="both"/>
        <w:rPr>
          <w:b/>
          <w:u w:val="single"/>
          <w:lang w:val="en-GB"/>
        </w:rPr>
      </w:pPr>
    </w:p>
    <w:p w14:paraId="5098F069" w14:textId="1BC9CE96" w:rsidR="00780C9C" w:rsidRDefault="00780C9C" w:rsidP="00C522D9">
      <w:pPr>
        <w:jc w:val="both"/>
        <w:rPr>
          <w:b/>
          <w:u w:val="single"/>
          <w:lang w:val="en-GB"/>
        </w:rPr>
      </w:pPr>
      <w:r w:rsidRPr="00E56F3A">
        <w:rPr>
          <w:b/>
          <w:u w:val="single"/>
          <w:lang w:val="en-GB"/>
        </w:rPr>
        <w:t xml:space="preserve">The subject of the </w:t>
      </w:r>
      <w:r w:rsidR="00891C77">
        <w:rPr>
          <w:b/>
          <w:u w:val="single"/>
          <w:lang w:val="en-GB"/>
        </w:rPr>
        <w:t>C</w:t>
      </w:r>
      <w:r w:rsidRPr="00E56F3A">
        <w:rPr>
          <w:b/>
          <w:u w:val="single"/>
          <w:lang w:val="en-GB"/>
        </w:rPr>
        <w:t>onsultation</w:t>
      </w:r>
    </w:p>
    <w:p w14:paraId="28071C06" w14:textId="77777777" w:rsidR="00686226" w:rsidRPr="00E56F3A" w:rsidRDefault="00686226" w:rsidP="00C522D9">
      <w:pPr>
        <w:jc w:val="both"/>
        <w:rPr>
          <w:b/>
          <w:u w:val="single"/>
          <w:lang w:val="en-GB"/>
        </w:rPr>
      </w:pPr>
    </w:p>
    <w:p w14:paraId="164BCFBA" w14:textId="1849F48C" w:rsidR="00780C9C" w:rsidRPr="00EC4379" w:rsidRDefault="0030580C" w:rsidP="00C522D9">
      <w:pPr>
        <w:jc w:val="both"/>
        <w:rPr>
          <w:lang w:val="en-GB"/>
        </w:rPr>
      </w:pPr>
      <w:r>
        <w:rPr>
          <w:lang w:val="en-GB"/>
        </w:rPr>
        <w:t xml:space="preserve">The </w:t>
      </w:r>
      <w:r w:rsidR="00780C9C" w:rsidRPr="00780C9C">
        <w:rPr>
          <w:lang w:val="en-GB"/>
        </w:rPr>
        <w:t xml:space="preserve">Article 28 </w:t>
      </w:r>
      <w:r w:rsidR="00780C9C">
        <w:rPr>
          <w:lang w:val="en-GB"/>
        </w:rPr>
        <w:t xml:space="preserve">of the </w:t>
      </w:r>
      <w:r w:rsidR="00EC4379" w:rsidRPr="00EC4379">
        <w:rPr>
          <w:lang w:val="en-GB"/>
        </w:rPr>
        <w:t>Commission Regulation (EU) 2017/460 of 16 March 2017 establishing a network code on harmonised transmission tariff structures for gas</w:t>
      </w:r>
    </w:p>
    <w:p w14:paraId="756CD567" w14:textId="77777777" w:rsidR="00780C9C" w:rsidRDefault="00780C9C" w:rsidP="00C522D9">
      <w:pPr>
        <w:jc w:val="both"/>
        <w:rPr>
          <w:b/>
          <w:lang w:val="en-GB"/>
        </w:rPr>
      </w:pPr>
    </w:p>
    <w:p w14:paraId="6B43D184" w14:textId="77777777" w:rsidR="00902FC4" w:rsidRDefault="00902FC4" w:rsidP="00C522D9">
      <w:pPr>
        <w:jc w:val="both"/>
        <w:rPr>
          <w:b/>
          <w:u w:val="single"/>
          <w:lang w:val="en-GB"/>
        </w:rPr>
      </w:pPr>
    </w:p>
    <w:p w14:paraId="0C09935A" w14:textId="0F344864" w:rsidR="00902FC4" w:rsidRDefault="00902FC4" w:rsidP="00C522D9">
      <w:pPr>
        <w:jc w:val="both"/>
        <w:rPr>
          <w:b/>
          <w:lang w:val="en-GB"/>
        </w:rPr>
      </w:pPr>
      <w:r>
        <w:rPr>
          <w:b/>
          <w:lang w:val="en-GB"/>
        </w:rPr>
        <w:br w:type="page"/>
      </w:r>
    </w:p>
    <w:p w14:paraId="666692E6" w14:textId="77777777" w:rsidR="00C66FA6" w:rsidRPr="00C66FA6" w:rsidRDefault="00C66FA6" w:rsidP="00C66FA6">
      <w:pPr>
        <w:jc w:val="both"/>
        <w:rPr>
          <w:b/>
          <w:lang w:val="en-GB"/>
        </w:rPr>
      </w:pPr>
      <w:r w:rsidRPr="00C66FA6">
        <w:rPr>
          <w:b/>
          <w:lang w:val="en-GB"/>
        </w:rPr>
        <w:lastRenderedPageBreak/>
        <w:t>Summary</w:t>
      </w:r>
    </w:p>
    <w:p w14:paraId="081E6C08" w14:textId="77777777" w:rsidR="00534F2E" w:rsidRDefault="00534F2E" w:rsidP="00C66FA6">
      <w:pPr>
        <w:jc w:val="both"/>
        <w:rPr>
          <w:lang w:val="en-GB"/>
        </w:rPr>
      </w:pPr>
    </w:p>
    <w:p w14:paraId="122326A8" w14:textId="1CC9D0F2" w:rsidR="0002107F" w:rsidRDefault="00282F32" w:rsidP="0002107F">
      <w:pPr>
        <w:jc w:val="both"/>
        <w:rPr>
          <w:lang w:val="en-GB"/>
        </w:rPr>
      </w:pPr>
      <w:r w:rsidRPr="00282F32">
        <w:rPr>
          <w:lang w:val="en-GB"/>
        </w:rPr>
        <w:t xml:space="preserve">The Regulatory Office for Network Industries (hereinafter </w:t>
      </w:r>
      <w:r w:rsidR="006C1A0C">
        <w:rPr>
          <w:lang w:val="en-GB"/>
        </w:rPr>
        <w:t xml:space="preserve">also </w:t>
      </w:r>
      <w:r w:rsidR="008819DC">
        <w:rPr>
          <w:lang w:val="en-GB"/>
        </w:rPr>
        <w:t>referred to as</w:t>
      </w:r>
      <w:r w:rsidR="004B6605">
        <w:rPr>
          <w:lang w:val="en-GB"/>
        </w:rPr>
        <w:t xml:space="preserve"> the</w:t>
      </w:r>
      <w:r w:rsidR="008819DC">
        <w:rPr>
          <w:lang w:val="en-GB"/>
        </w:rPr>
        <w:t xml:space="preserve"> </w:t>
      </w:r>
      <w:r w:rsidRPr="00282F32">
        <w:rPr>
          <w:lang w:val="en-GB"/>
        </w:rPr>
        <w:t>“</w:t>
      </w:r>
      <w:r w:rsidR="007D68DE" w:rsidRPr="000C1F97">
        <w:rPr>
          <w:b/>
          <w:lang w:val="en-GB"/>
        </w:rPr>
        <w:t>Office</w:t>
      </w:r>
      <w:r w:rsidRPr="00282F32">
        <w:rPr>
          <w:lang w:val="en-GB"/>
        </w:rPr>
        <w:t xml:space="preserve">”) </w:t>
      </w:r>
      <w:r w:rsidR="00534F2E">
        <w:rPr>
          <w:lang w:val="en-GB"/>
        </w:rPr>
        <w:t xml:space="preserve">is consulting </w:t>
      </w:r>
      <w:r w:rsidR="00CA7AD8">
        <w:rPr>
          <w:lang w:val="en-GB"/>
        </w:rPr>
        <w:t xml:space="preserve">a </w:t>
      </w:r>
      <w:r w:rsidR="00534F2E">
        <w:rPr>
          <w:lang w:val="en-GB"/>
        </w:rPr>
        <w:t xml:space="preserve">proposal </w:t>
      </w:r>
      <w:r w:rsidR="006C1A0C">
        <w:rPr>
          <w:lang w:val="en-GB"/>
        </w:rPr>
        <w:t>concerning</w:t>
      </w:r>
      <w:r w:rsidR="00534F2E">
        <w:rPr>
          <w:lang w:val="en-GB"/>
        </w:rPr>
        <w:t xml:space="preserve"> the implementation of </w:t>
      </w:r>
      <w:r w:rsidR="005E512C">
        <w:rPr>
          <w:lang w:val="en-GB"/>
        </w:rPr>
        <w:t xml:space="preserve">Article 28 of the </w:t>
      </w:r>
      <w:r w:rsidR="00534F2E" w:rsidRPr="00534F2E">
        <w:rPr>
          <w:lang w:val="en-GB"/>
        </w:rPr>
        <w:t>Commission Regulation (EU) 2017/460 of 16 March 2017 establishing a network code on harmonised transmission tariff structures for gas</w:t>
      </w:r>
      <w:r w:rsidR="00E44AC1" w:rsidRPr="00E44AC1">
        <w:rPr>
          <w:lang w:val="en-GB"/>
        </w:rPr>
        <w:t xml:space="preserve"> </w:t>
      </w:r>
      <w:r w:rsidR="00534F2E">
        <w:rPr>
          <w:lang w:val="en-GB"/>
        </w:rPr>
        <w:t>(</w:t>
      </w:r>
      <w:r w:rsidR="00534F2E" w:rsidRPr="00534F2E">
        <w:rPr>
          <w:lang w:val="en-GB"/>
        </w:rPr>
        <w:t xml:space="preserve">hereinafter </w:t>
      </w:r>
      <w:r w:rsidR="00511E60">
        <w:rPr>
          <w:lang w:val="en-GB"/>
        </w:rPr>
        <w:t>also</w:t>
      </w:r>
      <w:r w:rsidR="00511E60" w:rsidRPr="00534F2E">
        <w:rPr>
          <w:lang w:val="en-GB"/>
        </w:rPr>
        <w:t xml:space="preserve"> </w:t>
      </w:r>
      <w:r w:rsidR="00534F2E" w:rsidRPr="00534F2E">
        <w:rPr>
          <w:lang w:val="en-GB"/>
        </w:rPr>
        <w:t xml:space="preserve">referred to as </w:t>
      </w:r>
      <w:r w:rsidR="004B6605">
        <w:rPr>
          <w:lang w:val="en-GB"/>
        </w:rPr>
        <w:t xml:space="preserve">the </w:t>
      </w:r>
      <w:r w:rsidR="00534F2E" w:rsidRPr="00534F2E">
        <w:rPr>
          <w:lang w:val="en-GB"/>
        </w:rPr>
        <w:t>“</w:t>
      </w:r>
      <w:r w:rsidR="00534F2E" w:rsidRPr="000F4B2C">
        <w:rPr>
          <w:b/>
          <w:lang w:val="en-GB"/>
        </w:rPr>
        <w:t>TAR NC</w:t>
      </w:r>
      <w:r w:rsidR="00534F2E" w:rsidRPr="00534F2E">
        <w:rPr>
          <w:lang w:val="en-GB"/>
        </w:rPr>
        <w:t>”)</w:t>
      </w:r>
      <w:r w:rsidR="001F10C6" w:rsidRPr="00E44AC1">
        <w:rPr>
          <w:rStyle w:val="Odkaznapoznmkupodiarou"/>
          <w:lang w:val="en-GB"/>
        </w:rPr>
        <w:footnoteReference w:id="1"/>
      </w:r>
      <w:r w:rsidR="001F10C6" w:rsidRPr="00E44AC1">
        <w:rPr>
          <w:lang w:val="en-GB"/>
        </w:rPr>
        <w:t xml:space="preserve"> </w:t>
      </w:r>
      <w:r w:rsidR="00534F2E">
        <w:rPr>
          <w:lang w:val="en-GB"/>
        </w:rPr>
        <w:t xml:space="preserve">in the Slovak Republic. </w:t>
      </w:r>
    </w:p>
    <w:p w14:paraId="698EB3E6" w14:textId="77777777" w:rsidR="0002107F" w:rsidRDefault="0002107F" w:rsidP="0002107F">
      <w:pPr>
        <w:jc w:val="both"/>
        <w:rPr>
          <w:lang w:val="en-GB"/>
        </w:rPr>
      </w:pPr>
    </w:p>
    <w:p w14:paraId="5483A766" w14:textId="36F57C81" w:rsidR="001B11AF" w:rsidRDefault="000F4B2C" w:rsidP="00AC7BB4">
      <w:pPr>
        <w:pStyle w:val="Default"/>
        <w:jc w:val="both"/>
        <w:rPr>
          <w:lang w:val="en-GB"/>
        </w:rPr>
      </w:pPr>
      <w:r w:rsidRPr="000F4B2C">
        <w:rPr>
          <w:lang w:val="en-GB"/>
        </w:rPr>
        <w:t>The subject o</w:t>
      </w:r>
      <w:r w:rsidR="00DA527F">
        <w:rPr>
          <w:lang w:val="en-GB"/>
        </w:rPr>
        <w:t>f this Consultation Document is</w:t>
      </w:r>
      <w:r w:rsidR="004B6605">
        <w:rPr>
          <w:lang w:val="en-GB"/>
        </w:rPr>
        <w:t>,</w:t>
      </w:r>
      <w:r w:rsidRPr="000F4B2C">
        <w:rPr>
          <w:lang w:val="en-GB"/>
        </w:rPr>
        <w:t xml:space="preserve"> in accordance with Article 28 of the TAR NC</w:t>
      </w:r>
      <w:r w:rsidR="004B6605">
        <w:rPr>
          <w:lang w:val="en-GB"/>
        </w:rPr>
        <w:t>,</w:t>
      </w:r>
      <w:r w:rsidRPr="000F4B2C">
        <w:rPr>
          <w:lang w:val="en-GB"/>
        </w:rPr>
        <w:t xml:space="preserve"> the Office's proposal </w:t>
      </w:r>
      <w:r w:rsidR="004B6605">
        <w:rPr>
          <w:lang w:val="en-GB"/>
        </w:rPr>
        <w:t>regarding</w:t>
      </w:r>
      <w:r w:rsidR="00581C01">
        <w:rPr>
          <w:lang w:val="en-GB"/>
        </w:rPr>
        <w:t xml:space="preserve"> </w:t>
      </w:r>
      <w:r w:rsidR="00581C01" w:rsidRPr="00581C01">
        <w:rPr>
          <w:lang w:val="en-GB"/>
        </w:rPr>
        <w:t>the following aspects</w:t>
      </w:r>
      <w:r w:rsidRPr="000F4B2C">
        <w:rPr>
          <w:lang w:val="en-GB"/>
        </w:rPr>
        <w:t>:</w:t>
      </w:r>
    </w:p>
    <w:p w14:paraId="7DEC0F4D" w14:textId="77777777" w:rsidR="000F4B2C" w:rsidRDefault="000F4B2C" w:rsidP="00F13E84">
      <w:pPr>
        <w:pStyle w:val="Default"/>
        <w:rPr>
          <w:lang w:val="en-GB"/>
        </w:rPr>
      </w:pPr>
    </w:p>
    <w:p w14:paraId="59B9CC9E" w14:textId="237FE72D" w:rsidR="00710EE4" w:rsidRDefault="00E01A40" w:rsidP="00896A83">
      <w:pPr>
        <w:pStyle w:val="Default"/>
        <w:numPr>
          <w:ilvl w:val="0"/>
          <w:numId w:val="5"/>
        </w:numPr>
        <w:jc w:val="both"/>
        <w:rPr>
          <w:lang w:val="en-GB"/>
        </w:rPr>
      </w:pPr>
      <w:r>
        <w:rPr>
          <w:lang w:val="en-GB"/>
        </w:rPr>
        <w:t>the level of multipliers</w:t>
      </w:r>
      <w:r w:rsidR="001A7113">
        <w:rPr>
          <w:lang w:val="en-GB"/>
        </w:rPr>
        <w:t>;</w:t>
      </w:r>
    </w:p>
    <w:p w14:paraId="47EBBE10" w14:textId="77777777" w:rsidR="004D5F68" w:rsidRPr="00710EE4" w:rsidRDefault="004D5F68" w:rsidP="004D5F68">
      <w:pPr>
        <w:pStyle w:val="Default"/>
        <w:ind w:left="720"/>
        <w:rPr>
          <w:lang w:val="en-GB"/>
        </w:rPr>
      </w:pPr>
    </w:p>
    <w:p w14:paraId="39E73E89" w14:textId="71FF2D29" w:rsidR="001F10C6" w:rsidRPr="0049393F" w:rsidRDefault="00D7338D" w:rsidP="00DD4FFC">
      <w:pPr>
        <w:pStyle w:val="Default"/>
        <w:numPr>
          <w:ilvl w:val="0"/>
          <w:numId w:val="5"/>
        </w:numPr>
        <w:jc w:val="both"/>
        <w:rPr>
          <w:lang w:val="en-GB"/>
        </w:rPr>
      </w:pPr>
      <w:r>
        <w:rPr>
          <w:lang w:val="en-GB"/>
        </w:rPr>
        <w:t xml:space="preserve">non-application of the </w:t>
      </w:r>
      <w:r w:rsidR="001F10C6" w:rsidRPr="0049393F">
        <w:rPr>
          <w:lang w:val="en-GB"/>
        </w:rPr>
        <w:t>seasonal factors</w:t>
      </w:r>
      <w:r w:rsidR="00CE79AA">
        <w:rPr>
          <w:lang w:val="en-GB"/>
        </w:rPr>
        <w:t>;</w:t>
      </w:r>
    </w:p>
    <w:p w14:paraId="7756D59F" w14:textId="77777777" w:rsidR="001F10C6" w:rsidRDefault="001F10C6" w:rsidP="00D10072">
      <w:pPr>
        <w:pStyle w:val="Odsekzoznamu"/>
        <w:rPr>
          <w:lang w:val="en-GB"/>
        </w:rPr>
      </w:pPr>
    </w:p>
    <w:p w14:paraId="594E3C61" w14:textId="537AA3AE" w:rsidR="0049393F" w:rsidRDefault="00D7338D" w:rsidP="00431132">
      <w:pPr>
        <w:pStyle w:val="Default"/>
        <w:numPr>
          <w:ilvl w:val="0"/>
          <w:numId w:val="5"/>
        </w:numPr>
        <w:jc w:val="both"/>
        <w:rPr>
          <w:lang w:val="en-GB"/>
        </w:rPr>
      </w:pPr>
      <w:r>
        <w:rPr>
          <w:lang w:val="en-GB"/>
        </w:rPr>
        <w:t>non-</w:t>
      </w:r>
      <w:r w:rsidRPr="000F4B2C">
        <w:rPr>
          <w:lang w:val="en-GB"/>
        </w:rPr>
        <w:t>application of the discount</w:t>
      </w:r>
      <w:r w:rsidR="00950EAB">
        <w:rPr>
          <w:lang w:val="en-GB"/>
        </w:rPr>
        <w:t>s</w:t>
      </w:r>
      <w:r w:rsidRPr="000F4B2C">
        <w:rPr>
          <w:lang w:val="en-GB"/>
        </w:rPr>
        <w:t xml:space="preserve"> </w:t>
      </w:r>
      <w:r w:rsidR="00CE79AA" w:rsidRPr="000F4B2C">
        <w:rPr>
          <w:lang w:val="en-GB"/>
        </w:rPr>
        <w:t xml:space="preserve">at the entry points from LNG facilities and </w:t>
      </w:r>
      <w:r w:rsidR="00431132" w:rsidRPr="00431132">
        <w:rPr>
          <w:lang w:val="en-GB"/>
        </w:rPr>
        <w:t>non-application of the discounts</w:t>
      </w:r>
      <w:r w:rsidR="00431132">
        <w:rPr>
          <w:lang w:val="en-GB"/>
        </w:rPr>
        <w:t xml:space="preserve"> at the</w:t>
      </w:r>
      <w:r w:rsidR="00431132" w:rsidRPr="00431132">
        <w:rPr>
          <w:lang w:val="en-GB"/>
        </w:rPr>
        <w:t xml:space="preserve"> </w:t>
      </w:r>
      <w:r w:rsidR="00CE79AA" w:rsidRPr="000F4B2C">
        <w:rPr>
          <w:lang w:val="en-GB"/>
        </w:rPr>
        <w:t>entry/exit points from/to infrastructure ending isolation</w:t>
      </w:r>
      <w:r w:rsidR="00431132">
        <w:rPr>
          <w:lang w:val="en-GB"/>
        </w:rPr>
        <w:t xml:space="preserve"> of Member State</w:t>
      </w:r>
      <w:r w:rsidR="00A01860">
        <w:rPr>
          <w:lang w:val="en-GB"/>
        </w:rPr>
        <w:t>s</w:t>
      </w:r>
      <w:r w:rsidR="00431132">
        <w:rPr>
          <w:lang w:val="en-GB"/>
        </w:rPr>
        <w:t xml:space="preserve"> </w:t>
      </w:r>
      <w:r w:rsidR="000F4B2C" w:rsidRPr="000F4B2C">
        <w:rPr>
          <w:lang w:val="en-GB"/>
        </w:rPr>
        <w:t>set out in Articles 9(2)</w:t>
      </w:r>
      <w:r w:rsidR="004B6605">
        <w:rPr>
          <w:lang w:val="en-GB"/>
        </w:rPr>
        <w:t xml:space="preserve"> of the TAR NC</w:t>
      </w:r>
      <w:r w:rsidR="00CE79AA" w:rsidRPr="000F4B2C">
        <w:rPr>
          <w:lang w:val="en-GB"/>
        </w:rPr>
        <w:t>;</w:t>
      </w:r>
    </w:p>
    <w:p w14:paraId="296F4CC0" w14:textId="77777777" w:rsidR="0049393F" w:rsidRDefault="0049393F" w:rsidP="0049393F">
      <w:pPr>
        <w:pStyle w:val="Odsekzoznamu"/>
        <w:rPr>
          <w:lang w:val="en-GB"/>
        </w:rPr>
      </w:pPr>
    </w:p>
    <w:p w14:paraId="2DE030BA" w14:textId="66FE4E36" w:rsidR="00B239A8" w:rsidRPr="00B239A8" w:rsidRDefault="00B239A8" w:rsidP="00896A83">
      <w:pPr>
        <w:pStyle w:val="Default"/>
        <w:numPr>
          <w:ilvl w:val="0"/>
          <w:numId w:val="5"/>
        </w:numPr>
        <w:jc w:val="both"/>
        <w:rPr>
          <w:lang w:val="en-GB"/>
        </w:rPr>
      </w:pPr>
      <w:proofErr w:type="gramStart"/>
      <w:r w:rsidRPr="00B239A8">
        <w:rPr>
          <w:lang w:val="en-GB"/>
        </w:rPr>
        <w:t>the</w:t>
      </w:r>
      <w:proofErr w:type="gramEnd"/>
      <w:r>
        <w:rPr>
          <w:lang w:val="en-GB"/>
        </w:rPr>
        <w:t xml:space="preserve"> discount for </w:t>
      </w:r>
      <w:r w:rsidR="00285442">
        <w:rPr>
          <w:lang w:val="en-GB"/>
        </w:rPr>
        <w:t xml:space="preserve">standard capacity products for </w:t>
      </w:r>
      <w:r>
        <w:rPr>
          <w:lang w:val="en-GB"/>
        </w:rPr>
        <w:t xml:space="preserve">interruptible </w:t>
      </w:r>
      <w:r w:rsidR="00285442">
        <w:rPr>
          <w:lang w:val="en-GB"/>
        </w:rPr>
        <w:t>capacity</w:t>
      </w:r>
      <w:r w:rsidR="000F4B2C">
        <w:rPr>
          <w:lang w:val="en-GB"/>
        </w:rPr>
        <w:t xml:space="preserve"> in accordance with the Article 16 of the TAR NC</w:t>
      </w:r>
      <w:r w:rsidR="001A7113">
        <w:rPr>
          <w:lang w:val="en-GB"/>
        </w:rPr>
        <w:t>.</w:t>
      </w:r>
      <w:r>
        <w:rPr>
          <w:lang w:val="en-GB"/>
        </w:rPr>
        <w:t xml:space="preserve"> </w:t>
      </w:r>
    </w:p>
    <w:p w14:paraId="0CBA1448" w14:textId="77777777" w:rsidR="00E01A40" w:rsidRPr="00943C79" w:rsidRDefault="00E01A40" w:rsidP="00420B86">
      <w:pPr>
        <w:pStyle w:val="Default"/>
        <w:ind w:left="720"/>
        <w:rPr>
          <w:lang w:val="en-GB"/>
        </w:rPr>
      </w:pPr>
    </w:p>
    <w:p w14:paraId="71A4B978" w14:textId="0CC84A5E" w:rsidR="00943C79" w:rsidRPr="001B11AF" w:rsidRDefault="00BF6055" w:rsidP="001B11AF">
      <w:pPr>
        <w:pStyle w:val="Default"/>
        <w:jc w:val="both"/>
        <w:rPr>
          <w:lang w:val="en-GB"/>
        </w:rPr>
      </w:pPr>
      <w:r w:rsidRPr="00BF6055">
        <w:rPr>
          <w:lang w:val="en-GB"/>
        </w:rPr>
        <w:t>After the conclusion of the Consultation</w:t>
      </w:r>
      <w:r>
        <w:rPr>
          <w:lang w:val="en-GB"/>
        </w:rPr>
        <w:t>, s</w:t>
      </w:r>
      <w:r w:rsidR="001B11AF" w:rsidRPr="001B11AF">
        <w:rPr>
          <w:lang w:val="en-GB"/>
        </w:rPr>
        <w:t xml:space="preserve">ubject to responses </w:t>
      </w:r>
      <w:r w:rsidR="001508DB">
        <w:rPr>
          <w:lang w:val="en-GB"/>
        </w:rPr>
        <w:t>the Office</w:t>
      </w:r>
      <w:r w:rsidR="001B11AF" w:rsidRPr="001B11AF">
        <w:rPr>
          <w:lang w:val="en-GB"/>
        </w:rPr>
        <w:t xml:space="preserve"> receive</w:t>
      </w:r>
      <w:r w:rsidR="001508DB">
        <w:rPr>
          <w:lang w:val="en-GB"/>
        </w:rPr>
        <w:t>s</w:t>
      </w:r>
      <w:r w:rsidR="001B11AF" w:rsidRPr="001B11AF">
        <w:rPr>
          <w:lang w:val="en-GB"/>
        </w:rPr>
        <w:t xml:space="preserve">, </w:t>
      </w:r>
      <w:r w:rsidR="001508DB">
        <w:rPr>
          <w:lang w:val="en-GB"/>
        </w:rPr>
        <w:t xml:space="preserve">the Office </w:t>
      </w:r>
      <w:r w:rsidR="007014BC">
        <w:rPr>
          <w:lang w:val="en-GB"/>
        </w:rPr>
        <w:t>will</w:t>
      </w:r>
      <w:r w:rsidR="001B11AF" w:rsidRPr="001B11AF">
        <w:rPr>
          <w:lang w:val="en-GB"/>
        </w:rPr>
        <w:t xml:space="preserve"> follow this </w:t>
      </w:r>
      <w:r w:rsidR="00D7338D">
        <w:rPr>
          <w:lang w:val="en-GB"/>
        </w:rPr>
        <w:t>C</w:t>
      </w:r>
      <w:r w:rsidR="001B11AF" w:rsidRPr="001B11AF">
        <w:rPr>
          <w:lang w:val="en-GB"/>
        </w:rPr>
        <w:t>onsultation with</w:t>
      </w:r>
      <w:r w:rsidR="001B11AF">
        <w:rPr>
          <w:lang w:val="en-GB"/>
        </w:rPr>
        <w:t xml:space="preserve"> the</w:t>
      </w:r>
      <w:r w:rsidR="00185B61">
        <w:rPr>
          <w:lang w:val="en-GB"/>
        </w:rPr>
        <w:t>ir</w:t>
      </w:r>
      <w:r w:rsidR="001B11AF">
        <w:rPr>
          <w:lang w:val="en-GB"/>
        </w:rPr>
        <w:t xml:space="preserve"> evaluation and subsequent issuance </w:t>
      </w:r>
      <w:r w:rsidR="00A06A7C">
        <w:rPr>
          <w:lang w:val="en-GB"/>
        </w:rPr>
        <w:t xml:space="preserve">and publication </w:t>
      </w:r>
      <w:r w:rsidR="001B11AF">
        <w:rPr>
          <w:lang w:val="en-GB"/>
        </w:rPr>
        <w:t xml:space="preserve">of the </w:t>
      </w:r>
      <w:r w:rsidR="00E01031">
        <w:rPr>
          <w:lang w:val="en-GB"/>
        </w:rPr>
        <w:t xml:space="preserve">motivated </w:t>
      </w:r>
      <w:r w:rsidR="001B11AF">
        <w:rPr>
          <w:lang w:val="en-GB"/>
        </w:rPr>
        <w:t xml:space="preserve">decision on the aspects referred to in point </w:t>
      </w:r>
      <w:r w:rsidR="001508DB">
        <w:rPr>
          <w:lang w:val="en-GB"/>
        </w:rPr>
        <w:t>1</w:t>
      </w:r>
      <w:r w:rsidR="001B11AF">
        <w:rPr>
          <w:lang w:val="en-GB"/>
        </w:rPr>
        <w:t>)</w:t>
      </w:r>
      <w:r w:rsidR="00016824">
        <w:rPr>
          <w:lang w:val="en-GB"/>
        </w:rPr>
        <w:t>, 2)</w:t>
      </w:r>
      <w:r w:rsidR="00D7338D">
        <w:rPr>
          <w:lang w:val="en-GB"/>
        </w:rPr>
        <w:t>,</w:t>
      </w:r>
      <w:r w:rsidR="001B11AF">
        <w:rPr>
          <w:lang w:val="en-GB"/>
        </w:rPr>
        <w:t xml:space="preserve"> </w:t>
      </w:r>
      <w:r w:rsidR="00016824">
        <w:rPr>
          <w:lang w:val="en-GB"/>
        </w:rPr>
        <w:t>3</w:t>
      </w:r>
      <w:r w:rsidR="00B239A8">
        <w:rPr>
          <w:lang w:val="en-GB"/>
        </w:rPr>
        <w:t xml:space="preserve">) </w:t>
      </w:r>
      <w:r w:rsidR="00D7338D">
        <w:rPr>
          <w:lang w:val="en-GB"/>
        </w:rPr>
        <w:t xml:space="preserve">and 4) </w:t>
      </w:r>
      <w:r w:rsidR="00FE4CF9">
        <w:rPr>
          <w:lang w:val="en-GB"/>
        </w:rPr>
        <w:t xml:space="preserve">above </w:t>
      </w:r>
      <w:r w:rsidR="005200E2">
        <w:rPr>
          <w:lang w:val="en-GB"/>
        </w:rPr>
        <w:t>(hereinafter also referred to as the “</w:t>
      </w:r>
      <w:r w:rsidR="005200E2" w:rsidRPr="000F4B2C">
        <w:rPr>
          <w:b/>
          <w:lang w:val="en-GB"/>
        </w:rPr>
        <w:t>Decision</w:t>
      </w:r>
      <w:r w:rsidR="005200E2">
        <w:rPr>
          <w:lang w:val="en-GB"/>
        </w:rPr>
        <w:t xml:space="preserve">”) </w:t>
      </w:r>
      <w:r w:rsidR="00FE4CF9">
        <w:rPr>
          <w:lang w:val="en-GB"/>
        </w:rPr>
        <w:t xml:space="preserve">in accordance with the </w:t>
      </w:r>
      <w:r w:rsidR="005200E2">
        <w:rPr>
          <w:lang w:val="en-GB"/>
        </w:rPr>
        <w:t>applicable legislation</w:t>
      </w:r>
      <w:r w:rsidR="005E6B0F">
        <w:rPr>
          <w:lang w:val="en-GB"/>
        </w:rPr>
        <w:t>.</w:t>
      </w:r>
      <w:r w:rsidR="00665A3D">
        <w:rPr>
          <w:lang w:val="en-GB"/>
        </w:rPr>
        <w:t xml:space="preserve"> The Office will consider the position</w:t>
      </w:r>
      <w:r w:rsidR="00185B61">
        <w:rPr>
          <w:lang w:val="en-GB"/>
        </w:rPr>
        <w:t>s</w:t>
      </w:r>
      <w:r w:rsidR="00665A3D">
        <w:rPr>
          <w:lang w:val="en-GB"/>
        </w:rPr>
        <w:t xml:space="preserve"> of national regulatory authorit</w:t>
      </w:r>
      <w:r w:rsidR="00A06A7C">
        <w:rPr>
          <w:lang w:val="en-GB"/>
        </w:rPr>
        <w:t>ies</w:t>
      </w:r>
      <w:r w:rsidR="00665A3D">
        <w:rPr>
          <w:lang w:val="en-GB"/>
        </w:rPr>
        <w:t xml:space="preserve"> of directly connected Member States</w:t>
      </w:r>
      <w:r w:rsidR="0057781C">
        <w:rPr>
          <w:lang w:val="en-GB"/>
        </w:rPr>
        <w:t xml:space="preserve"> </w:t>
      </w:r>
      <w:r w:rsidR="00ED4E74">
        <w:rPr>
          <w:lang w:val="en-GB"/>
        </w:rPr>
        <w:t xml:space="preserve">with the Slovak Republic </w:t>
      </w:r>
      <w:r w:rsidR="0057781C">
        <w:rPr>
          <w:lang w:val="en-GB"/>
        </w:rPr>
        <w:t xml:space="preserve">and also the feedback from the </w:t>
      </w:r>
      <w:r w:rsidR="004D5F68">
        <w:rPr>
          <w:lang w:val="en-GB"/>
        </w:rPr>
        <w:t xml:space="preserve">other relevant </w:t>
      </w:r>
      <w:r w:rsidR="0057781C">
        <w:rPr>
          <w:lang w:val="en-GB"/>
        </w:rPr>
        <w:t>stakeholders</w:t>
      </w:r>
      <w:r w:rsidR="00C24528" w:rsidRPr="00C24528">
        <w:rPr>
          <w:lang w:val="en-GB"/>
        </w:rPr>
        <w:t>.</w:t>
      </w:r>
    </w:p>
    <w:p w14:paraId="576C1E5D" w14:textId="77777777" w:rsidR="00943C79" w:rsidRDefault="00943C79" w:rsidP="00F13E84">
      <w:pPr>
        <w:pStyle w:val="Default"/>
      </w:pPr>
    </w:p>
    <w:p w14:paraId="69D5B3AB" w14:textId="6AEE1503" w:rsidR="001D5108" w:rsidRPr="0025756C" w:rsidRDefault="0025756C" w:rsidP="0025756C">
      <w:pPr>
        <w:spacing w:after="160" w:line="259" w:lineRule="auto"/>
        <w:jc w:val="both"/>
        <w:rPr>
          <w:bCs/>
          <w:lang w:val="en-GB"/>
        </w:rPr>
      </w:pPr>
      <w:r w:rsidRPr="0025756C">
        <w:rPr>
          <w:bCs/>
          <w:lang w:val="en-GB"/>
        </w:rPr>
        <w:t xml:space="preserve">The Office proposes to apply the parameters </w:t>
      </w:r>
      <w:r w:rsidR="00C949DE">
        <w:rPr>
          <w:bCs/>
          <w:lang w:val="en-GB"/>
        </w:rPr>
        <w:t>pursuant</w:t>
      </w:r>
      <w:r w:rsidRPr="0025756C">
        <w:rPr>
          <w:bCs/>
          <w:lang w:val="en-GB"/>
        </w:rPr>
        <w:t xml:space="preserve"> to Article 28</w:t>
      </w:r>
      <w:r>
        <w:rPr>
          <w:bCs/>
          <w:lang w:val="en-GB"/>
        </w:rPr>
        <w:t>(1</w:t>
      </w:r>
      <w:proofErr w:type="gramStart"/>
      <w:r>
        <w:rPr>
          <w:bCs/>
          <w:lang w:val="en-GB"/>
        </w:rPr>
        <w:t>)(</w:t>
      </w:r>
      <w:proofErr w:type="gramEnd"/>
      <w:r w:rsidRPr="0025756C">
        <w:rPr>
          <w:bCs/>
          <w:lang w:val="en-GB"/>
        </w:rPr>
        <w:t>a)</w:t>
      </w:r>
      <w:r w:rsidR="00B02E6B">
        <w:rPr>
          <w:bCs/>
          <w:lang w:val="en-GB"/>
        </w:rPr>
        <w:t xml:space="preserve">, </w:t>
      </w:r>
      <w:r>
        <w:rPr>
          <w:bCs/>
          <w:lang w:val="en-GB"/>
        </w:rPr>
        <w:t>(</w:t>
      </w:r>
      <w:r w:rsidRPr="0025756C">
        <w:rPr>
          <w:bCs/>
          <w:lang w:val="en-GB"/>
        </w:rPr>
        <w:t>b)</w:t>
      </w:r>
      <w:r w:rsidR="00B02E6B">
        <w:rPr>
          <w:bCs/>
          <w:lang w:val="en-GB"/>
        </w:rPr>
        <w:t xml:space="preserve"> and </w:t>
      </w:r>
      <w:r>
        <w:rPr>
          <w:bCs/>
          <w:lang w:val="en-GB"/>
        </w:rPr>
        <w:t>(</w:t>
      </w:r>
      <w:r w:rsidRPr="0025756C">
        <w:rPr>
          <w:bCs/>
          <w:lang w:val="en-GB"/>
        </w:rPr>
        <w:t xml:space="preserve">c) </w:t>
      </w:r>
      <w:r>
        <w:rPr>
          <w:bCs/>
          <w:lang w:val="en-GB"/>
        </w:rPr>
        <w:t xml:space="preserve">of the </w:t>
      </w:r>
      <w:r w:rsidRPr="0025756C">
        <w:rPr>
          <w:bCs/>
          <w:lang w:val="en-GB"/>
        </w:rPr>
        <w:t>TAR NC</w:t>
      </w:r>
      <w:r w:rsidR="00C949DE">
        <w:rPr>
          <w:bCs/>
          <w:lang w:val="en-GB"/>
        </w:rPr>
        <w:t>,</w:t>
      </w:r>
      <w:r w:rsidRPr="0025756C">
        <w:rPr>
          <w:bCs/>
          <w:lang w:val="en-GB"/>
        </w:rPr>
        <w:t xml:space="preserve"> relating to the trans</w:t>
      </w:r>
      <w:r>
        <w:rPr>
          <w:bCs/>
          <w:lang w:val="en-GB"/>
        </w:rPr>
        <w:t>mission</w:t>
      </w:r>
      <w:r w:rsidRPr="0025756C">
        <w:rPr>
          <w:bCs/>
          <w:lang w:val="en-GB"/>
        </w:rPr>
        <w:t xml:space="preserve"> </w:t>
      </w:r>
      <w:r>
        <w:rPr>
          <w:bCs/>
          <w:lang w:val="en-GB"/>
        </w:rPr>
        <w:t>system</w:t>
      </w:r>
      <w:r w:rsidRPr="0025756C">
        <w:rPr>
          <w:bCs/>
          <w:lang w:val="en-GB"/>
        </w:rPr>
        <w:t xml:space="preserve"> in the defined territory of the Slovak Republic, </w:t>
      </w:r>
      <w:r w:rsidR="00C949DE">
        <w:rPr>
          <w:bCs/>
          <w:lang w:val="en-GB"/>
        </w:rPr>
        <w:t xml:space="preserve">as </w:t>
      </w:r>
      <w:r w:rsidR="00B02E6B">
        <w:rPr>
          <w:bCs/>
          <w:lang w:val="en-GB"/>
        </w:rPr>
        <w:t>determined</w:t>
      </w:r>
      <w:r w:rsidRPr="0025756C">
        <w:rPr>
          <w:bCs/>
          <w:lang w:val="en-GB"/>
        </w:rPr>
        <w:t xml:space="preserve"> on the basis of this Consultation, </w:t>
      </w:r>
      <w:r w:rsidR="00C949DE">
        <w:rPr>
          <w:bCs/>
          <w:lang w:val="en-GB"/>
        </w:rPr>
        <w:t>for</w:t>
      </w:r>
      <w:r w:rsidRPr="0025756C">
        <w:rPr>
          <w:bCs/>
          <w:lang w:val="en-GB"/>
        </w:rPr>
        <w:t xml:space="preserve"> the period from </w:t>
      </w:r>
      <w:r>
        <w:rPr>
          <w:bCs/>
          <w:lang w:val="en-GB"/>
        </w:rPr>
        <w:t xml:space="preserve">1 </w:t>
      </w:r>
      <w:r w:rsidRPr="0025756C">
        <w:rPr>
          <w:bCs/>
          <w:lang w:val="en-GB"/>
        </w:rPr>
        <w:t>January 202</w:t>
      </w:r>
      <w:r w:rsidR="005200E2">
        <w:rPr>
          <w:bCs/>
          <w:lang w:val="en-GB"/>
        </w:rPr>
        <w:t>6</w:t>
      </w:r>
      <w:r w:rsidR="00C949DE">
        <w:rPr>
          <w:bCs/>
          <w:lang w:val="en-GB"/>
        </w:rPr>
        <w:t xml:space="preserve"> </w:t>
      </w:r>
      <w:r w:rsidRPr="0025756C">
        <w:rPr>
          <w:bCs/>
          <w:lang w:val="en-GB"/>
        </w:rPr>
        <w:t>until the end of the current regulat</w:t>
      </w:r>
      <w:r w:rsidR="00CA00F3">
        <w:rPr>
          <w:bCs/>
          <w:lang w:val="en-GB"/>
        </w:rPr>
        <w:t>ory</w:t>
      </w:r>
      <w:r w:rsidRPr="0025756C">
        <w:rPr>
          <w:bCs/>
          <w:lang w:val="en-GB"/>
        </w:rPr>
        <w:t xml:space="preserve"> period (</w:t>
      </w:r>
      <w:r w:rsidR="001F4639" w:rsidRPr="001F4639">
        <w:rPr>
          <w:bCs/>
          <w:lang w:val="en-GB"/>
        </w:rPr>
        <w:t>i.e., by</w:t>
      </w:r>
      <w:r w:rsidR="001F4639">
        <w:rPr>
          <w:bCs/>
          <w:lang w:val="en-GB"/>
        </w:rPr>
        <w:t xml:space="preserve"> </w:t>
      </w:r>
      <w:r>
        <w:rPr>
          <w:bCs/>
          <w:lang w:val="en-GB"/>
        </w:rPr>
        <w:t xml:space="preserve">31 </w:t>
      </w:r>
      <w:r w:rsidRPr="0025756C">
        <w:rPr>
          <w:bCs/>
          <w:lang w:val="en-GB"/>
        </w:rPr>
        <w:t>December 2027).</w:t>
      </w:r>
      <w:r w:rsidR="001D5108" w:rsidRPr="0025756C">
        <w:rPr>
          <w:bCs/>
          <w:lang w:val="en-GB"/>
        </w:rPr>
        <w:br w:type="page"/>
      </w:r>
    </w:p>
    <w:p w14:paraId="465A97D0" w14:textId="77777777" w:rsidR="00F13E84" w:rsidRPr="00F13E84" w:rsidRDefault="00F13E84" w:rsidP="00F13E84">
      <w:pPr>
        <w:pStyle w:val="Odsekzoznamu"/>
        <w:numPr>
          <w:ilvl w:val="0"/>
          <w:numId w:val="3"/>
        </w:numPr>
        <w:jc w:val="both"/>
        <w:rPr>
          <w:b/>
          <w:lang w:val="en-GB"/>
        </w:rPr>
      </w:pPr>
      <w:r w:rsidRPr="00F13E84">
        <w:rPr>
          <w:b/>
          <w:lang w:val="en-GB"/>
        </w:rPr>
        <w:lastRenderedPageBreak/>
        <w:t xml:space="preserve">Introduction </w:t>
      </w:r>
    </w:p>
    <w:p w14:paraId="1C7EE799" w14:textId="77777777" w:rsidR="00F13E84" w:rsidRPr="00F13E84" w:rsidRDefault="00F13E84" w:rsidP="00F13E84">
      <w:pPr>
        <w:pStyle w:val="Odsekzoznamu"/>
        <w:jc w:val="both"/>
        <w:rPr>
          <w:b/>
          <w:lang w:val="en-GB"/>
        </w:rPr>
      </w:pPr>
    </w:p>
    <w:p w14:paraId="2B5F7E40" w14:textId="77777777" w:rsidR="00F13E84" w:rsidRPr="00F13E84" w:rsidRDefault="00F13E84" w:rsidP="00F13E84">
      <w:pPr>
        <w:jc w:val="both"/>
        <w:rPr>
          <w:b/>
          <w:i/>
          <w:lang w:val="en-GB"/>
        </w:rPr>
      </w:pPr>
      <w:r w:rsidRPr="00F13E84">
        <w:rPr>
          <w:b/>
          <w:i/>
          <w:lang w:val="en-GB"/>
        </w:rPr>
        <w:t>Context</w:t>
      </w:r>
    </w:p>
    <w:p w14:paraId="097B2915" w14:textId="77777777" w:rsidR="00F13E84" w:rsidRDefault="00F13E84" w:rsidP="00F13E84">
      <w:pPr>
        <w:jc w:val="both"/>
        <w:rPr>
          <w:b/>
          <w:bCs/>
          <w:i/>
          <w:iCs/>
          <w:sz w:val="20"/>
          <w:szCs w:val="20"/>
        </w:rPr>
      </w:pPr>
    </w:p>
    <w:p w14:paraId="54E3B736" w14:textId="58F39B12" w:rsidR="001847A5" w:rsidRDefault="0000745B" w:rsidP="00D64496">
      <w:pPr>
        <w:jc w:val="both"/>
        <w:rPr>
          <w:lang w:val="en-GB"/>
        </w:rPr>
      </w:pPr>
      <w:r>
        <w:rPr>
          <w:lang w:val="en-GB"/>
        </w:rPr>
        <w:t xml:space="preserve">The TAR NC was adopted </w:t>
      </w:r>
      <w:r w:rsidR="006F719A" w:rsidRPr="006F719A">
        <w:rPr>
          <w:lang w:val="en-GB"/>
        </w:rPr>
        <w:t>on 16 March 2017</w:t>
      </w:r>
      <w:r w:rsidR="006F719A">
        <w:rPr>
          <w:lang w:val="en-GB"/>
        </w:rPr>
        <w:t xml:space="preserve"> </w:t>
      </w:r>
      <w:r w:rsidR="0092578C">
        <w:rPr>
          <w:lang w:val="en-GB"/>
        </w:rPr>
        <w:t xml:space="preserve">with the </w:t>
      </w:r>
      <w:r w:rsidR="00FD529A">
        <w:rPr>
          <w:lang w:val="en-GB"/>
        </w:rPr>
        <w:t xml:space="preserve">objective </w:t>
      </w:r>
      <w:r w:rsidRPr="0000745B">
        <w:rPr>
          <w:lang w:val="en-GB"/>
        </w:rPr>
        <w:t>to contribute to market integration, to enhance security of supply and to promote interconnections between gas transmission networks.</w:t>
      </w:r>
      <w:r w:rsidR="00A11B4C">
        <w:rPr>
          <w:lang w:val="en-GB"/>
        </w:rPr>
        <w:t xml:space="preserve"> A</w:t>
      </w:r>
      <w:r w:rsidRPr="0000745B">
        <w:rPr>
          <w:lang w:val="en-GB"/>
        </w:rPr>
        <w:t xml:space="preserve"> </w:t>
      </w:r>
      <w:r w:rsidR="00A11B4C" w:rsidRPr="00A11B4C">
        <w:rPr>
          <w:lang w:val="en-GB"/>
        </w:rPr>
        <w:t xml:space="preserve">crucial step in reaching these objectives </w:t>
      </w:r>
      <w:r w:rsidR="009B4A5A">
        <w:rPr>
          <w:lang w:val="en-GB"/>
        </w:rPr>
        <w:t>i</w:t>
      </w:r>
      <w:r w:rsidR="00A11B4C" w:rsidRPr="00A11B4C">
        <w:rPr>
          <w:lang w:val="en-GB"/>
        </w:rPr>
        <w:t xml:space="preserve">s to increase the transparency of transmission tariff structures and procedures towards setting them. </w:t>
      </w:r>
      <w:r w:rsidR="008E7ECC" w:rsidRPr="008E7ECC">
        <w:rPr>
          <w:lang w:val="en-GB"/>
        </w:rPr>
        <w:t>T</w:t>
      </w:r>
      <w:r w:rsidR="00D60DB6">
        <w:rPr>
          <w:lang w:val="en-GB"/>
        </w:rPr>
        <w:t>he T</w:t>
      </w:r>
      <w:r w:rsidR="008E7ECC" w:rsidRPr="008E7ECC">
        <w:rPr>
          <w:lang w:val="en-GB"/>
        </w:rPr>
        <w:t>AR NC was published in the Official Journal of the E</w:t>
      </w:r>
      <w:r w:rsidR="00060F34">
        <w:rPr>
          <w:lang w:val="en-GB"/>
        </w:rPr>
        <w:t>U</w:t>
      </w:r>
      <w:r w:rsidR="008E7ECC" w:rsidRPr="008E7ECC">
        <w:rPr>
          <w:lang w:val="en-GB"/>
        </w:rPr>
        <w:t xml:space="preserve"> on 1</w:t>
      </w:r>
      <w:r w:rsidR="0076638A">
        <w:rPr>
          <w:lang w:val="en-GB"/>
        </w:rPr>
        <w:t>7</w:t>
      </w:r>
      <w:r w:rsidR="00E01EE2">
        <w:rPr>
          <w:lang w:val="en-GB"/>
        </w:rPr>
        <w:t> </w:t>
      </w:r>
      <w:r w:rsidR="008E7ECC" w:rsidRPr="008E7ECC">
        <w:rPr>
          <w:lang w:val="en-GB"/>
        </w:rPr>
        <w:t>March 2017</w:t>
      </w:r>
      <w:r w:rsidR="0001276D">
        <w:rPr>
          <w:lang w:val="en-GB"/>
        </w:rPr>
        <w:t xml:space="preserve"> and it entered into force 20</w:t>
      </w:r>
      <w:r w:rsidR="005A7CE7">
        <w:rPr>
          <w:lang w:val="en-GB"/>
        </w:rPr>
        <w:t xml:space="preserve"> </w:t>
      </w:r>
      <w:r w:rsidR="0001276D">
        <w:rPr>
          <w:lang w:val="en-GB"/>
        </w:rPr>
        <w:t>days later</w:t>
      </w:r>
      <w:r w:rsidR="00432C16">
        <w:rPr>
          <w:lang w:val="en-GB"/>
        </w:rPr>
        <w:t>,</w:t>
      </w:r>
      <w:r w:rsidR="0001276D">
        <w:rPr>
          <w:lang w:val="en-GB"/>
        </w:rPr>
        <w:t xml:space="preserve"> on 6 April 2017</w:t>
      </w:r>
      <w:r w:rsidR="007C1603">
        <w:rPr>
          <w:lang w:val="en-GB"/>
        </w:rPr>
        <w:t>.</w:t>
      </w:r>
      <w:r w:rsidR="003C0EAC">
        <w:rPr>
          <w:lang w:val="en-GB"/>
        </w:rPr>
        <w:t xml:space="preserve"> </w:t>
      </w:r>
    </w:p>
    <w:p w14:paraId="3EF86F61" w14:textId="77777777" w:rsidR="001847A5" w:rsidRDefault="001847A5" w:rsidP="00D64496">
      <w:pPr>
        <w:jc w:val="both"/>
        <w:rPr>
          <w:lang w:val="en-GB"/>
        </w:rPr>
      </w:pPr>
    </w:p>
    <w:p w14:paraId="5BD5B121" w14:textId="2C50E15B" w:rsidR="00D64496" w:rsidRDefault="00BD6511" w:rsidP="00D44BD6">
      <w:pPr>
        <w:jc w:val="both"/>
        <w:rPr>
          <w:lang w:val="en-GB"/>
        </w:rPr>
      </w:pPr>
      <w:r>
        <w:rPr>
          <w:lang w:val="en-GB"/>
        </w:rPr>
        <w:t>The TAR NC</w:t>
      </w:r>
      <w:r w:rsidR="003C0EAC">
        <w:rPr>
          <w:lang w:val="en-GB"/>
        </w:rPr>
        <w:t xml:space="preserve"> establishes </w:t>
      </w:r>
      <w:r w:rsidR="003C0EAC" w:rsidRPr="003C0EAC">
        <w:rPr>
          <w:lang w:val="en-GB"/>
        </w:rPr>
        <w:t>a network code setting out the rules on harmonised transmission tariff structures for gas, including rules on the application of a reference price methodology, the associated consultation</w:t>
      </w:r>
      <w:r w:rsidR="00A647C5">
        <w:rPr>
          <w:lang w:val="en-GB"/>
        </w:rPr>
        <w:t>s</w:t>
      </w:r>
      <w:r w:rsidR="003C0EAC" w:rsidRPr="003C0EAC">
        <w:rPr>
          <w:lang w:val="en-GB"/>
        </w:rPr>
        <w:t xml:space="preserve"> and publication requirements as well as the calculation of reserve prices for standard capacity products.</w:t>
      </w:r>
      <w:r w:rsidR="005F75B6">
        <w:rPr>
          <w:lang w:val="en-GB"/>
        </w:rPr>
        <w:t xml:space="preserve"> </w:t>
      </w:r>
      <w:r w:rsidR="00D44BD6">
        <w:rPr>
          <w:lang w:val="en-GB"/>
        </w:rPr>
        <w:t>TAR NC shall be binding in its entirety and directly applicable in all Member States.</w:t>
      </w:r>
      <w:r w:rsidR="00472C49">
        <w:rPr>
          <w:rStyle w:val="Odkaznapoznmkupodiarou"/>
          <w:lang w:val="en-GB"/>
        </w:rPr>
        <w:footnoteReference w:id="2"/>
      </w:r>
    </w:p>
    <w:p w14:paraId="2FF93779" w14:textId="77777777" w:rsidR="00C761DE" w:rsidRDefault="00C761DE" w:rsidP="00D64496">
      <w:pPr>
        <w:jc w:val="both"/>
        <w:rPr>
          <w:lang w:val="en-GB"/>
        </w:rPr>
      </w:pPr>
    </w:p>
    <w:p w14:paraId="4068BC9C" w14:textId="4506ACF9" w:rsidR="00F534C2" w:rsidRPr="00F534C2" w:rsidRDefault="00C67439" w:rsidP="004F0A40">
      <w:pPr>
        <w:jc w:val="both"/>
        <w:rPr>
          <w:b/>
          <w:i/>
          <w:lang w:val="en-GB"/>
        </w:rPr>
      </w:pPr>
      <w:r>
        <w:rPr>
          <w:b/>
          <w:i/>
          <w:lang w:val="en-GB"/>
        </w:rPr>
        <w:t xml:space="preserve">Consultations in </w:t>
      </w:r>
      <w:r w:rsidR="003A3C10">
        <w:rPr>
          <w:b/>
          <w:i/>
          <w:lang w:val="en-GB"/>
        </w:rPr>
        <w:t>g</w:t>
      </w:r>
      <w:r w:rsidR="00F534C2" w:rsidRPr="00F534C2">
        <w:rPr>
          <w:b/>
          <w:i/>
          <w:lang w:val="en-GB"/>
        </w:rPr>
        <w:t>eneral</w:t>
      </w:r>
    </w:p>
    <w:p w14:paraId="0D187AAD" w14:textId="77777777" w:rsidR="00F534C2" w:rsidRDefault="00F534C2" w:rsidP="004F0A40">
      <w:pPr>
        <w:jc w:val="both"/>
        <w:rPr>
          <w:lang w:val="en-GB"/>
        </w:rPr>
      </w:pPr>
    </w:p>
    <w:p w14:paraId="7F26F5B1" w14:textId="53FC79D6" w:rsidR="00F13E82" w:rsidRDefault="007A5696" w:rsidP="004F0A40">
      <w:pPr>
        <w:jc w:val="both"/>
        <w:rPr>
          <w:lang w:val="en-GB"/>
        </w:rPr>
      </w:pPr>
      <w:r w:rsidRPr="008E7ECC">
        <w:rPr>
          <w:lang w:val="en-GB"/>
        </w:rPr>
        <w:t>Important</w:t>
      </w:r>
      <w:r w:rsidR="00D64496" w:rsidRPr="008E7ECC">
        <w:rPr>
          <w:lang w:val="en-GB"/>
        </w:rPr>
        <w:t xml:space="preserve"> </w:t>
      </w:r>
      <w:r>
        <w:rPr>
          <w:lang w:val="en-GB"/>
        </w:rPr>
        <w:t xml:space="preserve">chapter </w:t>
      </w:r>
      <w:r w:rsidR="00D64496" w:rsidRPr="008E7ECC">
        <w:rPr>
          <w:lang w:val="en-GB"/>
        </w:rPr>
        <w:t xml:space="preserve">to the requirements of TAR NC is the </w:t>
      </w:r>
      <w:r w:rsidR="00D64496">
        <w:rPr>
          <w:lang w:val="en-GB"/>
        </w:rPr>
        <w:t>Chapter VII – Consultation requirements.</w:t>
      </w:r>
      <w:r w:rsidR="00485269">
        <w:rPr>
          <w:lang w:val="en-GB"/>
        </w:rPr>
        <w:t xml:space="preserve"> Th</w:t>
      </w:r>
      <w:r w:rsidR="004F0A40">
        <w:rPr>
          <w:lang w:val="en-GB"/>
        </w:rPr>
        <w:t>e</w:t>
      </w:r>
      <w:r w:rsidR="00485269">
        <w:rPr>
          <w:lang w:val="en-GB"/>
        </w:rPr>
        <w:t xml:space="preserve"> Chapter VII</w:t>
      </w:r>
      <w:r w:rsidR="002F1CFD">
        <w:rPr>
          <w:lang w:val="en-GB"/>
        </w:rPr>
        <w:t xml:space="preserve"> of the TAR NC</w:t>
      </w:r>
      <w:r w:rsidR="00485269">
        <w:rPr>
          <w:lang w:val="en-GB"/>
        </w:rPr>
        <w:t xml:space="preserve"> distinguishes between</w:t>
      </w:r>
      <w:r w:rsidR="002F1CFD">
        <w:rPr>
          <w:lang w:val="en-GB"/>
        </w:rPr>
        <w:t>:</w:t>
      </w:r>
      <w:r w:rsidR="00485269">
        <w:rPr>
          <w:lang w:val="en-GB"/>
        </w:rPr>
        <w:t xml:space="preserve"> </w:t>
      </w:r>
    </w:p>
    <w:p w14:paraId="14AC8602" w14:textId="77777777" w:rsidR="00F13E82" w:rsidRDefault="00F13E82" w:rsidP="004F0A40">
      <w:pPr>
        <w:jc w:val="both"/>
        <w:rPr>
          <w:lang w:val="en-GB"/>
        </w:rPr>
      </w:pPr>
    </w:p>
    <w:p w14:paraId="399DB433" w14:textId="3F2883A5" w:rsidR="009D20E6" w:rsidRDefault="00485269" w:rsidP="00414491">
      <w:pPr>
        <w:pStyle w:val="Odsekzoznamu"/>
        <w:numPr>
          <w:ilvl w:val="0"/>
          <w:numId w:val="7"/>
        </w:numPr>
        <w:jc w:val="both"/>
        <w:rPr>
          <w:lang w:val="en-GB"/>
        </w:rPr>
      </w:pPr>
      <w:r w:rsidRPr="00F13E82">
        <w:rPr>
          <w:lang w:val="en-GB"/>
        </w:rPr>
        <w:t xml:space="preserve">Article 26 and </w:t>
      </w:r>
      <w:r w:rsidR="00425ADA">
        <w:rPr>
          <w:lang w:val="en-GB"/>
        </w:rPr>
        <w:t xml:space="preserve">Article </w:t>
      </w:r>
      <w:r w:rsidRPr="00F13E82">
        <w:rPr>
          <w:lang w:val="en-GB"/>
        </w:rPr>
        <w:t xml:space="preserve">27 address the periodic consultation that </w:t>
      </w:r>
      <w:r w:rsidR="00EC379E">
        <w:rPr>
          <w:lang w:val="en-GB"/>
        </w:rPr>
        <w:t xml:space="preserve">shall be repeated </w:t>
      </w:r>
      <w:r w:rsidRPr="00F13E82">
        <w:rPr>
          <w:lang w:val="en-GB"/>
        </w:rPr>
        <w:t xml:space="preserve">at least every five years </w:t>
      </w:r>
      <w:r w:rsidR="00EC379E">
        <w:rPr>
          <w:lang w:val="en-GB"/>
        </w:rPr>
        <w:t>starting</w:t>
      </w:r>
      <w:r w:rsidR="00D031B4" w:rsidRPr="00F13E82">
        <w:rPr>
          <w:lang w:val="en-GB"/>
        </w:rPr>
        <w:t xml:space="preserve"> </w:t>
      </w:r>
      <w:r w:rsidRPr="00F13E82">
        <w:rPr>
          <w:lang w:val="en-GB"/>
        </w:rPr>
        <w:t xml:space="preserve">from </w:t>
      </w:r>
      <w:r w:rsidR="00EC379E">
        <w:rPr>
          <w:lang w:val="en-GB"/>
        </w:rPr>
        <w:t>31 M</w:t>
      </w:r>
      <w:r w:rsidR="00D031B4" w:rsidRPr="00F13E82">
        <w:rPr>
          <w:lang w:val="en-GB"/>
        </w:rPr>
        <w:t>ay 2019</w:t>
      </w:r>
      <w:r w:rsidR="00EC379E">
        <w:rPr>
          <w:lang w:val="en-GB"/>
        </w:rPr>
        <w:t xml:space="preserve">. The 31 May 2019 </w:t>
      </w:r>
      <w:r w:rsidR="008C1FAE">
        <w:rPr>
          <w:lang w:val="en-GB"/>
        </w:rPr>
        <w:t xml:space="preserve">is </w:t>
      </w:r>
      <w:r w:rsidR="001A57AC">
        <w:rPr>
          <w:lang w:val="en-GB"/>
        </w:rPr>
        <w:t>designated</w:t>
      </w:r>
      <w:r w:rsidR="008C1FAE">
        <w:rPr>
          <w:lang w:val="en-GB"/>
        </w:rPr>
        <w:t xml:space="preserve"> in TAR NC</w:t>
      </w:r>
      <w:r w:rsidR="001A57AC">
        <w:rPr>
          <w:lang w:val="en-GB"/>
        </w:rPr>
        <w:t xml:space="preserve"> as a </w:t>
      </w:r>
      <w:r w:rsidR="00425ADA">
        <w:rPr>
          <w:lang w:val="en-GB"/>
        </w:rPr>
        <w:t xml:space="preserve">final </w:t>
      </w:r>
      <w:r w:rsidR="00D031B4" w:rsidRPr="00F13E82">
        <w:rPr>
          <w:lang w:val="en-GB"/>
        </w:rPr>
        <w:t xml:space="preserve">deadline </w:t>
      </w:r>
      <w:r w:rsidR="00425ADA">
        <w:rPr>
          <w:lang w:val="en-GB"/>
        </w:rPr>
        <w:t>till which t</w:t>
      </w:r>
      <w:r w:rsidR="00425ADA" w:rsidRPr="00425ADA">
        <w:rPr>
          <w:lang w:val="en-GB"/>
        </w:rPr>
        <w:t>he procedure consisting of the final consultation on the reference price methodology in accordance with</w:t>
      </w:r>
      <w:r w:rsidR="00E6401A">
        <w:rPr>
          <w:lang w:val="en-GB"/>
        </w:rPr>
        <w:t xml:space="preserve"> the</w:t>
      </w:r>
      <w:r w:rsidR="00425ADA" w:rsidRPr="00425ADA">
        <w:rPr>
          <w:lang w:val="en-GB"/>
        </w:rPr>
        <w:t xml:space="preserve"> Article 26</w:t>
      </w:r>
      <w:r w:rsidR="00930EA4">
        <w:rPr>
          <w:lang w:val="en-GB"/>
        </w:rPr>
        <w:t xml:space="preserve"> of the TAR NC</w:t>
      </w:r>
      <w:r w:rsidR="00425ADA" w:rsidRPr="00425ADA">
        <w:rPr>
          <w:lang w:val="en-GB"/>
        </w:rPr>
        <w:t xml:space="preserve">, the </w:t>
      </w:r>
      <w:r w:rsidR="0011305E">
        <w:rPr>
          <w:lang w:val="en-GB"/>
        </w:rPr>
        <w:t xml:space="preserve">adoption and publication of the </w:t>
      </w:r>
      <w:r w:rsidR="00425ADA">
        <w:rPr>
          <w:lang w:val="en-GB"/>
        </w:rPr>
        <w:t xml:space="preserve">respective </w:t>
      </w:r>
      <w:r w:rsidR="00425ADA" w:rsidRPr="00425ADA">
        <w:rPr>
          <w:lang w:val="en-GB"/>
        </w:rPr>
        <w:t xml:space="preserve">decision </w:t>
      </w:r>
      <w:r w:rsidR="00D3535D">
        <w:rPr>
          <w:lang w:val="en-GB"/>
        </w:rPr>
        <w:t xml:space="preserve">of </w:t>
      </w:r>
      <w:r w:rsidR="00425ADA" w:rsidRPr="00425ADA">
        <w:rPr>
          <w:lang w:val="en-GB"/>
        </w:rPr>
        <w:t xml:space="preserve">the </w:t>
      </w:r>
      <w:r w:rsidR="00414491">
        <w:rPr>
          <w:lang w:val="en-GB"/>
        </w:rPr>
        <w:t xml:space="preserve">national regulatory authority </w:t>
      </w:r>
      <w:r w:rsidR="002F1CFD">
        <w:rPr>
          <w:lang w:val="en-GB"/>
        </w:rPr>
        <w:t>in accordance with the Article 27</w:t>
      </w:r>
      <w:r w:rsidR="00B02E6B">
        <w:rPr>
          <w:lang w:val="en-GB"/>
        </w:rPr>
        <w:t>(4)</w:t>
      </w:r>
      <w:r w:rsidR="002F1CFD">
        <w:rPr>
          <w:lang w:val="en-GB"/>
        </w:rPr>
        <w:t xml:space="preserve"> of the TAR NC</w:t>
      </w:r>
      <w:r w:rsidR="00425ADA" w:rsidRPr="00425ADA">
        <w:rPr>
          <w:lang w:val="en-GB"/>
        </w:rPr>
        <w:t xml:space="preserve">, the calculation of tariffs on the basis of this decision, and the publication of the tariffs in accordance with Chapter VIII </w:t>
      </w:r>
      <w:r w:rsidR="00425ADA">
        <w:rPr>
          <w:lang w:val="en-GB"/>
        </w:rPr>
        <w:t xml:space="preserve">of the TAR NC </w:t>
      </w:r>
      <w:r w:rsidR="00425ADA" w:rsidRPr="00425ADA">
        <w:rPr>
          <w:lang w:val="en-GB"/>
        </w:rPr>
        <w:t>shall be concluded</w:t>
      </w:r>
      <w:r w:rsidR="004F005C">
        <w:rPr>
          <w:lang w:val="en-GB"/>
        </w:rPr>
        <w:t xml:space="preserve">. </w:t>
      </w:r>
      <w:r w:rsidR="004F005C" w:rsidRPr="004F005C">
        <w:rPr>
          <w:lang w:val="en-GB"/>
        </w:rPr>
        <w:t xml:space="preserve">This procedure shall be repeated at least every five </w:t>
      </w:r>
      <w:r w:rsidR="004F005C">
        <w:rPr>
          <w:lang w:val="en-GB"/>
        </w:rPr>
        <w:t>years starting from 31 May 2019;</w:t>
      </w:r>
    </w:p>
    <w:p w14:paraId="7216C837" w14:textId="77777777" w:rsidR="009D20E6" w:rsidRDefault="009D20E6" w:rsidP="009D20E6">
      <w:pPr>
        <w:pStyle w:val="Odsekzoznamu"/>
        <w:ind w:left="1080"/>
        <w:jc w:val="both"/>
        <w:rPr>
          <w:lang w:val="en-GB"/>
        </w:rPr>
      </w:pPr>
    </w:p>
    <w:p w14:paraId="6F0BCEF4" w14:textId="5E5EE174" w:rsidR="00D64496" w:rsidRPr="009D20E6" w:rsidRDefault="00485269" w:rsidP="000C4BEC">
      <w:pPr>
        <w:pStyle w:val="Odsekzoznamu"/>
        <w:numPr>
          <w:ilvl w:val="0"/>
          <w:numId w:val="7"/>
        </w:numPr>
        <w:jc w:val="both"/>
        <w:rPr>
          <w:lang w:val="en-GB"/>
        </w:rPr>
      </w:pPr>
      <w:r w:rsidRPr="009D20E6">
        <w:rPr>
          <w:lang w:val="en-GB"/>
        </w:rPr>
        <w:t xml:space="preserve">Article 28 which deals </w:t>
      </w:r>
      <w:r w:rsidR="004D31F1" w:rsidRPr="009D20E6">
        <w:rPr>
          <w:lang w:val="en-GB"/>
        </w:rPr>
        <w:t>wi</w:t>
      </w:r>
      <w:r w:rsidR="004F0A40" w:rsidRPr="009D20E6">
        <w:rPr>
          <w:lang w:val="en-GB"/>
        </w:rPr>
        <w:t xml:space="preserve">th </w:t>
      </w:r>
      <w:r w:rsidR="00B330C5">
        <w:rPr>
          <w:lang w:val="en-GB"/>
        </w:rPr>
        <w:t>additional</w:t>
      </w:r>
      <w:r w:rsidR="00EF7B0B" w:rsidRPr="009D20E6">
        <w:rPr>
          <w:lang w:val="en-GB"/>
        </w:rPr>
        <w:t xml:space="preserve"> </w:t>
      </w:r>
      <w:r w:rsidR="00B330C5">
        <w:rPr>
          <w:lang w:val="en-GB"/>
        </w:rPr>
        <w:t>aspects</w:t>
      </w:r>
      <w:r w:rsidR="00D031B4" w:rsidRPr="009D20E6">
        <w:rPr>
          <w:lang w:val="en-GB"/>
        </w:rPr>
        <w:t xml:space="preserve"> not mentione</w:t>
      </w:r>
      <w:r w:rsidR="000F7A7A" w:rsidRPr="009D20E6">
        <w:rPr>
          <w:lang w:val="en-GB"/>
        </w:rPr>
        <w:t xml:space="preserve">d in the Article 26 </w:t>
      </w:r>
      <w:r w:rsidR="00212C0D">
        <w:rPr>
          <w:lang w:val="en-GB"/>
        </w:rPr>
        <w:t xml:space="preserve">of the TAR NC </w:t>
      </w:r>
      <w:r w:rsidR="00200D0A" w:rsidRPr="009D20E6">
        <w:rPr>
          <w:lang w:val="en-GB"/>
        </w:rPr>
        <w:t xml:space="preserve">such as </w:t>
      </w:r>
      <w:r w:rsidR="00D031B4" w:rsidRPr="009D20E6">
        <w:rPr>
          <w:lang w:val="en-GB"/>
        </w:rPr>
        <w:t xml:space="preserve">multipliers, seasonal factors and discounts </w:t>
      </w:r>
      <w:r w:rsidR="00815AC4" w:rsidRPr="009D20E6">
        <w:rPr>
          <w:lang w:val="en-GB"/>
        </w:rPr>
        <w:t xml:space="preserve">set out in the Article 9(2) and 16 of the TAR NC </w:t>
      </w:r>
      <w:r w:rsidR="00D031B4" w:rsidRPr="009D20E6">
        <w:rPr>
          <w:lang w:val="en-GB"/>
        </w:rPr>
        <w:t xml:space="preserve">which </w:t>
      </w:r>
      <w:r w:rsidR="00926B82">
        <w:rPr>
          <w:lang w:val="en-GB"/>
        </w:rPr>
        <w:t>shall be</w:t>
      </w:r>
      <w:r w:rsidR="00D031B4" w:rsidRPr="009D20E6">
        <w:rPr>
          <w:lang w:val="en-GB"/>
        </w:rPr>
        <w:t xml:space="preserve"> the subject to </w:t>
      </w:r>
      <w:r w:rsidR="004F0A40" w:rsidRPr="009D20E6">
        <w:rPr>
          <w:lang w:val="en-GB"/>
        </w:rPr>
        <w:t xml:space="preserve">consultation </w:t>
      </w:r>
      <w:r w:rsidR="00243A04">
        <w:rPr>
          <w:lang w:val="en-GB"/>
        </w:rPr>
        <w:t>a</w:t>
      </w:r>
      <w:r w:rsidR="00243A04" w:rsidRPr="00243A04">
        <w:rPr>
          <w:lang w:val="en-GB"/>
        </w:rPr>
        <w:t>t the same time as the final consultation</w:t>
      </w:r>
      <w:r w:rsidR="00243A04">
        <w:rPr>
          <w:lang w:val="en-GB"/>
        </w:rPr>
        <w:t xml:space="preserve"> </w:t>
      </w:r>
      <w:r w:rsidR="00243A04" w:rsidRPr="00243A04">
        <w:rPr>
          <w:lang w:val="en-GB"/>
        </w:rPr>
        <w:t>accord</w:t>
      </w:r>
      <w:r w:rsidR="0011305E">
        <w:rPr>
          <w:lang w:val="en-GB"/>
        </w:rPr>
        <w:t>ing to</w:t>
      </w:r>
      <w:r w:rsidR="00243A04" w:rsidRPr="00243A04">
        <w:rPr>
          <w:lang w:val="en-GB"/>
        </w:rPr>
        <w:t xml:space="preserve"> Article 26(1)</w:t>
      </w:r>
      <w:r w:rsidR="00243A04">
        <w:rPr>
          <w:lang w:val="en-GB"/>
        </w:rPr>
        <w:t xml:space="preserve"> </w:t>
      </w:r>
      <w:r w:rsidR="005C0F9A">
        <w:rPr>
          <w:lang w:val="en-GB"/>
        </w:rPr>
        <w:t>TAR NC</w:t>
      </w:r>
      <w:r w:rsidR="0011305E">
        <w:rPr>
          <w:lang w:val="en-GB"/>
        </w:rPr>
        <w:t>,</w:t>
      </w:r>
      <w:r w:rsidR="005C0F9A">
        <w:rPr>
          <w:lang w:val="en-GB"/>
        </w:rPr>
        <w:t xml:space="preserve"> </w:t>
      </w:r>
      <w:r w:rsidR="00053E96">
        <w:rPr>
          <w:lang w:val="en-GB"/>
        </w:rPr>
        <w:t xml:space="preserve">and subsequently every </w:t>
      </w:r>
      <w:r w:rsidR="004F0A40" w:rsidRPr="009D20E6">
        <w:rPr>
          <w:lang w:val="en-GB"/>
        </w:rPr>
        <w:t>tariff period.</w:t>
      </w:r>
      <w:r w:rsidR="00FD09F5" w:rsidRPr="009D20E6">
        <w:rPr>
          <w:lang w:val="en-GB"/>
        </w:rPr>
        <w:t xml:space="preserve"> After each consultation, the Office shall take and publish a motivated decision on the aspects referred to in Article 28</w:t>
      </w:r>
      <w:r w:rsidR="00212C0D">
        <w:rPr>
          <w:lang w:val="en-GB"/>
        </w:rPr>
        <w:t xml:space="preserve"> </w:t>
      </w:r>
      <w:r w:rsidR="00FD09F5" w:rsidRPr="009D20E6">
        <w:rPr>
          <w:lang w:val="en-GB"/>
        </w:rPr>
        <w:t>(1)</w:t>
      </w:r>
      <w:r w:rsidR="00BC0955">
        <w:rPr>
          <w:lang w:val="en-GB"/>
        </w:rPr>
        <w:t xml:space="preserve"> of the TAR NC</w:t>
      </w:r>
      <w:r w:rsidR="00FD09F5" w:rsidRPr="009D20E6">
        <w:rPr>
          <w:lang w:val="en-GB"/>
        </w:rPr>
        <w:t>.</w:t>
      </w:r>
    </w:p>
    <w:p w14:paraId="330F52EA" w14:textId="77777777" w:rsidR="00D64496" w:rsidRDefault="00D64496" w:rsidP="0002107F">
      <w:pPr>
        <w:jc w:val="both"/>
        <w:rPr>
          <w:lang w:val="en-GB"/>
        </w:rPr>
      </w:pPr>
    </w:p>
    <w:p w14:paraId="7CA6FEE7" w14:textId="097A40B2" w:rsidR="000241EB" w:rsidRDefault="0011305E" w:rsidP="0002107F">
      <w:pPr>
        <w:jc w:val="both"/>
        <w:rPr>
          <w:lang w:val="en-GB"/>
        </w:rPr>
      </w:pPr>
      <w:r w:rsidRPr="0011305E">
        <w:rPr>
          <w:lang w:val="en-GB"/>
        </w:rPr>
        <w:t xml:space="preserve">Based on </w:t>
      </w:r>
      <w:r w:rsidR="00C64B9E">
        <w:rPr>
          <w:lang w:val="en-GB"/>
        </w:rPr>
        <w:t>the d</w:t>
      </w:r>
      <w:r w:rsidRPr="0011305E">
        <w:rPr>
          <w:lang w:val="en-GB"/>
        </w:rPr>
        <w:t xml:space="preserve">ecision No. 0001/2017/P-TS of the Office dated 20 November 2017, the responsibility for the consultation pursuant to Article 26 of the TAR NC was assigned to the transmission system operator, </w:t>
      </w:r>
      <w:proofErr w:type="spellStart"/>
      <w:r w:rsidRPr="0011305E">
        <w:rPr>
          <w:lang w:val="en-GB"/>
        </w:rPr>
        <w:t>eustream</w:t>
      </w:r>
      <w:proofErr w:type="spellEnd"/>
      <w:r w:rsidRPr="0011305E">
        <w:rPr>
          <w:lang w:val="en-GB"/>
        </w:rPr>
        <w:t xml:space="preserve">, </w:t>
      </w:r>
      <w:proofErr w:type="spellStart"/>
      <w:r w:rsidRPr="0011305E">
        <w:rPr>
          <w:lang w:val="en-GB"/>
        </w:rPr>
        <w:t>a.s</w:t>
      </w:r>
      <w:proofErr w:type="spellEnd"/>
      <w:proofErr w:type="gramStart"/>
      <w:r w:rsidRPr="0011305E">
        <w:rPr>
          <w:lang w:val="en-GB"/>
        </w:rPr>
        <w:t>.</w:t>
      </w:r>
      <w:r>
        <w:rPr>
          <w:lang w:val="en-GB"/>
        </w:rPr>
        <w:t>.</w:t>
      </w:r>
      <w:proofErr w:type="gramEnd"/>
      <w:r>
        <w:rPr>
          <w:lang w:val="en-GB"/>
        </w:rPr>
        <w:t xml:space="preserve"> </w:t>
      </w:r>
      <w:r w:rsidR="000241EB">
        <w:rPr>
          <w:lang w:val="en-GB"/>
        </w:rPr>
        <w:t>The r</w:t>
      </w:r>
      <w:r w:rsidR="000241EB" w:rsidRPr="000241EB">
        <w:rPr>
          <w:lang w:val="en-GB"/>
        </w:rPr>
        <w:t>esponsibility for the Consultation according to Article 28 of the TAR NC and issu</w:t>
      </w:r>
      <w:r w:rsidR="00B213B0">
        <w:rPr>
          <w:lang w:val="en-GB"/>
        </w:rPr>
        <w:t xml:space="preserve">ance of </w:t>
      </w:r>
      <w:r w:rsidR="000241EB" w:rsidRPr="000241EB">
        <w:rPr>
          <w:lang w:val="en-GB"/>
        </w:rPr>
        <w:t xml:space="preserve">a </w:t>
      </w:r>
      <w:r w:rsidR="000241EB">
        <w:rPr>
          <w:lang w:val="en-GB"/>
        </w:rPr>
        <w:t>motivated</w:t>
      </w:r>
      <w:r w:rsidR="000241EB" w:rsidRPr="000241EB">
        <w:rPr>
          <w:lang w:val="en-GB"/>
        </w:rPr>
        <w:t xml:space="preserve"> Decision is, in accordance with the TAR NC, </w:t>
      </w:r>
      <w:r w:rsidR="00C64B9E" w:rsidRPr="00C64B9E">
        <w:rPr>
          <w:lang w:val="en-GB"/>
        </w:rPr>
        <w:t>entrusted</w:t>
      </w:r>
      <w:r w:rsidR="000241EB" w:rsidRPr="000241EB">
        <w:rPr>
          <w:lang w:val="en-GB"/>
        </w:rPr>
        <w:t xml:space="preserve"> to the </w:t>
      </w:r>
      <w:r w:rsidR="00CF3865" w:rsidRPr="00CF3865">
        <w:rPr>
          <w:lang w:val="en-GB"/>
        </w:rPr>
        <w:t>Regulatory Office for Network Industries</w:t>
      </w:r>
      <w:r w:rsidR="000241EB" w:rsidRPr="000241EB">
        <w:rPr>
          <w:lang w:val="en-GB"/>
        </w:rPr>
        <w:t xml:space="preserve"> </w:t>
      </w:r>
      <w:r w:rsidRPr="0011305E">
        <w:rPr>
          <w:lang w:val="en-GB"/>
        </w:rPr>
        <w:t>as the central government authority for the regulation of network industries in the territory of the Slovak Republic</w:t>
      </w:r>
      <w:r w:rsidR="000241EB">
        <w:rPr>
          <w:lang w:val="en-GB"/>
        </w:rPr>
        <w:t>.</w:t>
      </w:r>
    </w:p>
    <w:p w14:paraId="2974B518" w14:textId="77777777" w:rsidR="00B50D7F" w:rsidRDefault="00B50D7F" w:rsidP="0002107F">
      <w:pPr>
        <w:jc w:val="both"/>
        <w:rPr>
          <w:lang w:val="en-GB"/>
        </w:rPr>
      </w:pPr>
    </w:p>
    <w:p w14:paraId="077167DF" w14:textId="200521BD" w:rsidR="00AE5393" w:rsidRDefault="00D06F41" w:rsidP="001E627E">
      <w:pPr>
        <w:jc w:val="both"/>
        <w:rPr>
          <w:lang w:val="en-GB"/>
        </w:rPr>
      </w:pPr>
      <w:r>
        <w:rPr>
          <w:lang w:val="en-GB"/>
        </w:rPr>
        <w:lastRenderedPageBreak/>
        <w:t>As per TAR NC, t</w:t>
      </w:r>
      <w:r w:rsidR="001E627E">
        <w:rPr>
          <w:lang w:val="en-GB"/>
        </w:rPr>
        <w:t>he scope of this C</w:t>
      </w:r>
      <w:r w:rsidR="001E627E" w:rsidRPr="001E627E">
        <w:rPr>
          <w:lang w:val="en-GB"/>
        </w:rPr>
        <w:t xml:space="preserve">onsultation is limited to </w:t>
      </w:r>
      <w:r w:rsidR="001E627E">
        <w:rPr>
          <w:lang w:val="en-GB"/>
        </w:rPr>
        <w:t>the</w:t>
      </w:r>
      <w:r w:rsidR="001B0397">
        <w:rPr>
          <w:lang w:val="en-GB"/>
        </w:rPr>
        <w:t xml:space="preserve"> EU</w:t>
      </w:r>
      <w:r w:rsidR="001A4B7E">
        <w:rPr>
          <w:lang w:val="en-GB"/>
        </w:rPr>
        <w:t xml:space="preserve"> </w:t>
      </w:r>
      <w:r w:rsidR="00EF58F6">
        <w:rPr>
          <w:lang w:val="en-GB"/>
        </w:rPr>
        <w:t>i</w:t>
      </w:r>
      <w:r w:rsidR="001A4B7E">
        <w:rPr>
          <w:lang w:val="en-GB"/>
        </w:rPr>
        <w:t xml:space="preserve">nterconnection </w:t>
      </w:r>
      <w:r w:rsidR="00A30BA2">
        <w:rPr>
          <w:lang w:val="en-GB"/>
        </w:rPr>
        <w:t>p</w:t>
      </w:r>
      <w:r w:rsidR="001E627E">
        <w:rPr>
          <w:lang w:val="en-GB"/>
        </w:rPr>
        <w:t xml:space="preserve">oints </w:t>
      </w:r>
      <w:r>
        <w:rPr>
          <w:lang w:val="en-GB"/>
        </w:rPr>
        <w:t>only</w:t>
      </w:r>
      <w:r w:rsidR="000241EB">
        <w:rPr>
          <w:rStyle w:val="Odkaznapoznmkupodiarou"/>
          <w:lang w:val="en-GB"/>
        </w:rPr>
        <w:footnoteReference w:id="3"/>
      </w:r>
      <w:r w:rsidR="001E627E">
        <w:rPr>
          <w:lang w:val="en-GB"/>
        </w:rPr>
        <w:t xml:space="preserve">. </w:t>
      </w:r>
      <w:r w:rsidR="000241EB">
        <w:rPr>
          <w:lang w:val="en-GB"/>
        </w:rPr>
        <w:t>The</w:t>
      </w:r>
      <w:r w:rsidR="00891C77">
        <w:rPr>
          <w:lang w:val="en-GB"/>
        </w:rPr>
        <w:t xml:space="preserve"> C</w:t>
      </w:r>
      <w:r>
        <w:rPr>
          <w:lang w:val="en-GB"/>
        </w:rPr>
        <w:t xml:space="preserve">onsultation is strictly limited to the following </w:t>
      </w:r>
      <w:r w:rsidR="000241EB">
        <w:rPr>
          <w:lang w:val="en-GB"/>
        </w:rPr>
        <w:t>i</w:t>
      </w:r>
      <w:r>
        <w:rPr>
          <w:lang w:val="en-GB"/>
        </w:rPr>
        <w:t xml:space="preserve">nterconnection </w:t>
      </w:r>
      <w:r w:rsidR="000241EB">
        <w:rPr>
          <w:lang w:val="en-GB"/>
        </w:rPr>
        <w:t>p</w:t>
      </w:r>
      <w:r>
        <w:rPr>
          <w:lang w:val="en-GB"/>
        </w:rPr>
        <w:t>oints</w:t>
      </w:r>
      <w:r w:rsidR="000241EB">
        <w:rPr>
          <w:lang w:val="en-GB"/>
        </w:rPr>
        <w:t xml:space="preserve"> (</w:t>
      </w:r>
      <w:r w:rsidR="00681DF2" w:rsidRPr="00681DF2">
        <w:rPr>
          <w:lang w:val="en-GB"/>
        </w:rPr>
        <w:t xml:space="preserve">hereinafter </w:t>
      </w:r>
      <w:r w:rsidR="00511E60" w:rsidRPr="00681DF2">
        <w:rPr>
          <w:lang w:val="en-GB"/>
        </w:rPr>
        <w:t xml:space="preserve">also </w:t>
      </w:r>
      <w:r w:rsidR="00681DF2" w:rsidRPr="00681DF2">
        <w:rPr>
          <w:lang w:val="en-GB"/>
        </w:rPr>
        <w:t xml:space="preserve">referred to as </w:t>
      </w:r>
      <w:r w:rsidR="000241EB" w:rsidRPr="000241EB">
        <w:rPr>
          <w:lang w:val="en-GB"/>
        </w:rPr>
        <w:t>"</w:t>
      </w:r>
      <w:r w:rsidR="000241EB" w:rsidRPr="006745CD">
        <w:rPr>
          <w:b/>
          <w:bCs/>
          <w:lang w:val="en-GB"/>
        </w:rPr>
        <w:t xml:space="preserve">EU </w:t>
      </w:r>
      <w:r w:rsidR="00EF58F6" w:rsidRPr="006745CD">
        <w:rPr>
          <w:b/>
          <w:bCs/>
          <w:lang w:val="en-GB"/>
        </w:rPr>
        <w:t>i</w:t>
      </w:r>
      <w:r w:rsidR="000241EB" w:rsidRPr="006745CD">
        <w:rPr>
          <w:b/>
          <w:bCs/>
          <w:lang w:val="en-GB"/>
        </w:rPr>
        <w:t xml:space="preserve">nterconnection </w:t>
      </w:r>
      <w:r w:rsidR="00A30BA2" w:rsidRPr="006745CD">
        <w:rPr>
          <w:b/>
          <w:bCs/>
          <w:lang w:val="en-GB"/>
        </w:rPr>
        <w:t>p</w:t>
      </w:r>
      <w:r w:rsidR="000241EB" w:rsidRPr="006745CD">
        <w:rPr>
          <w:b/>
          <w:bCs/>
          <w:lang w:val="en-GB"/>
        </w:rPr>
        <w:t>oints</w:t>
      </w:r>
      <w:r w:rsidR="000241EB">
        <w:rPr>
          <w:lang w:val="en-GB"/>
        </w:rPr>
        <w:t>”)</w:t>
      </w:r>
      <w:r>
        <w:rPr>
          <w:lang w:val="en-GB"/>
        </w:rPr>
        <w:t>:</w:t>
      </w:r>
    </w:p>
    <w:p w14:paraId="24AA9B53" w14:textId="77777777" w:rsidR="006D7E8E" w:rsidRDefault="006D7E8E" w:rsidP="001E627E">
      <w:pPr>
        <w:jc w:val="both"/>
        <w:rPr>
          <w:lang w:val="en-GB"/>
        </w:rPr>
      </w:pPr>
    </w:p>
    <w:p w14:paraId="4015734E" w14:textId="29A21B37" w:rsidR="00D06F41" w:rsidRDefault="00D06F41" w:rsidP="000241EB">
      <w:pPr>
        <w:pStyle w:val="Odsekzoznamu"/>
        <w:numPr>
          <w:ilvl w:val="0"/>
          <w:numId w:val="22"/>
        </w:numPr>
        <w:jc w:val="both"/>
        <w:rPr>
          <w:lang w:val="en-GB"/>
        </w:rPr>
      </w:pPr>
      <w:proofErr w:type="spellStart"/>
      <w:r w:rsidRPr="00D06F41">
        <w:rPr>
          <w:lang w:val="en-GB"/>
        </w:rPr>
        <w:t>Lanžhot</w:t>
      </w:r>
      <w:proofErr w:type="spellEnd"/>
      <w:r w:rsidRPr="00D06F41">
        <w:rPr>
          <w:lang w:val="en-GB"/>
        </w:rPr>
        <w:t xml:space="preserve"> – </w:t>
      </w:r>
      <w:r w:rsidR="009752B2">
        <w:rPr>
          <w:lang w:val="en-GB"/>
        </w:rPr>
        <w:t>E</w:t>
      </w:r>
      <w:r w:rsidRPr="00D06F41">
        <w:rPr>
          <w:lang w:val="en-GB"/>
        </w:rPr>
        <w:t>ntry</w:t>
      </w:r>
      <w:r>
        <w:rPr>
          <w:lang w:val="en-GB"/>
        </w:rPr>
        <w:t>/</w:t>
      </w:r>
      <w:r w:rsidR="009752B2">
        <w:rPr>
          <w:lang w:val="en-GB"/>
        </w:rPr>
        <w:t>E</w:t>
      </w:r>
      <w:r>
        <w:rPr>
          <w:lang w:val="en-GB"/>
        </w:rPr>
        <w:t>xit</w:t>
      </w:r>
      <w:r w:rsidRPr="00D06F41">
        <w:rPr>
          <w:lang w:val="en-GB"/>
        </w:rPr>
        <w:t xml:space="preserve"> point from</w:t>
      </w:r>
      <w:r>
        <w:rPr>
          <w:lang w:val="en-GB"/>
        </w:rPr>
        <w:t>/to</w:t>
      </w:r>
      <w:r w:rsidRPr="00D06F41">
        <w:rPr>
          <w:lang w:val="en-GB"/>
        </w:rPr>
        <w:t xml:space="preserve"> the transmission network of gas facilities on the</w:t>
      </w:r>
      <w:r>
        <w:rPr>
          <w:lang w:val="en-GB"/>
        </w:rPr>
        <w:t xml:space="preserve"> </w:t>
      </w:r>
      <w:r w:rsidRPr="00D06F41">
        <w:rPr>
          <w:lang w:val="en-GB"/>
        </w:rPr>
        <w:t>territory of the Czech Republic</w:t>
      </w:r>
    </w:p>
    <w:p w14:paraId="11F53B00" w14:textId="77777777" w:rsidR="006D7E8E" w:rsidRPr="00D06F41" w:rsidRDefault="006D7E8E" w:rsidP="006D7E8E">
      <w:pPr>
        <w:pStyle w:val="Odsekzoznamu"/>
        <w:jc w:val="both"/>
        <w:rPr>
          <w:lang w:val="en-GB"/>
        </w:rPr>
      </w:pPr>
    </w:p>
    <w:p w14:paraId="07E5234E" w14:textId="01CB182D" w:rsidR="00D06F41" w:rsidRDefault="00D06F41" w:rsidP="000241EB">
      <w:pPr>
        <w:pStyle w:val="Odsekzoznamu"/>
        <w:numPr>
          <w:ilvl w:val="0"/>
          <w:numId w:val="22"/>
        </w:numPr>
        <w:jc w:val="both"/>
        <w:rPr>
          <w:lang w:val="en-GB"/>
        </w:rPr>
      </w:pPr>
      <w:proofErr w:type="spellStart"/>
      <w:r w:rsidRPr="00D06F41">
        <w:rPr>
          <w:lang w:val="en-GB"/>
        </w:rPr>
        <w:t>Baumgarten</w:t>
      </w:r>
      <w:proofErr w:type="spellEnd"/>
      <w:r w:rsidRPr="00D06F41">
        <w:rPr>
          <w:lang w:val="en-GB"/>
        </w:rPr>
        <w:t xml:space="preserve"> – </w:t>
      </w:r>
      <w:r w:rsidR="009752B2">
        <w:rPr>
          <w:lang w:val="en-GB"/>
        </w:rPr>
        <w:t>E</w:t>
      </w:r>
      <w:r w:rsidRPr="00D06F41">
        <w:rPr>
          <w:lang w:val="en-GB"/>
        </w:rPr>
        <w:t>ntry</w:t>
      </w:r>
      <w:r>
        <w:rPr>
          <w:lang w:val="en-GB"/>
        </w:rPr>
        <w:t>/</w:t>
      </w:r>
      <w:r w:rsidR="009752B2">
        <w:rPr>
          <w:lang w:val="en-GB"/>
        </w:rPr>
        <w:t>E</w:t>
      </w:r>
      <w:r>
        <w:rPr>
          <w:lang w:val="en-GB"/>
        </w:rPr>
        <w:t>xit</w:t>
      </w:r>
      <w:r w:rsidRPr="00D06F41">
        <w:rPr>
          <w:lang w:val="en-GB"/>
        </w:rPr>
        <w:t xml:space="preserve"> point from</w:t>
      </w:r>
      <w:r>
        <w:rPr>
          <w:lang w:val="en-GB"/>
        </w:rPr>
        <w:t>/to</w:t>
      </w:r>
      <w:r w:rsidRPr="00D06F41">
        <w:rPr>
          <w:lang w:val="en-GB"/>
        </w:rPr>
        <w:t xml:space="preserve"> the transmission network of gas facilities on the</w:t>
      </w:r>
      <w:r>
        <w:rPr>
          <w:lang w:val="en-GB"/>
        </w:rPr>
        <w:t xml:space="preserve"> </w:t>
      </w:r>
      <w:r w:rsidRPr="00D06F41">
        <w:rPr>
          <w:lang w:val="en-GB"/>
        </w:rPr>
        <w:t>territory of Austria</w:t>
      </w:r>
    </w:p>
    <w:p w14:paraId="7C881291" w14:textId="77777777" w:rsidR="006D7E8E" w:rsidRPr="006D7E8E" w:rsidRDefault="006D7E8E" w:rsidP="006D7E8E">
      <w:pPr>
        <w:jc w:val="both"/>
        <w:rPr>
          <w:lang w:val="en-GB"/>
        </w:rPr>
      </w:pPr>
    </w:p>
    <w:p w14:paraId="0B3D3D77" w14:textId="14080F3C" w:rsidR="00D06F41" w:rsidRDefault="00D06F41" w:rsidP="000241EB">
      <w:pPr>
        <w:pStyle w:val="Odsekzoznamu"/>
        <w:numPr>
          <w:ilvl w:val="0"/>
          <w:numId w:val="22"/>
        </w:numPr>
        <w:jc w:val="both"/>
        <w:rPr>
          <w:lang w:val="en-GB"/>
        </w:rPr>
      </w:pPr>
      <w:proofErr w:type="spellStart"/>
      <w:r w:rsidRPr="00D06F41">
        <w:rPr>
          <w:lang w:val="en-GB"/>
        </w:rPr>
        <w:t>Veľké</w:t>
      </w:r>
      <w:proofErr w:type="spellEnd"/>
      <w:r w:rsidRPr="00D06F41">
        <w:rPr>
          <w:lang w:val="en-GB"/>
        </w:rPr>
        <w:t xml:space="preserve"> </w:t>
      </w:r>
      <w:proofErr w:type="spellStart"/>
      <w:r w:rsidRPr="00D06F41">
        <w:rPr>
          <w:lang w:val="en-GB"/>
        </w:rPr>
        <w:t>Zlievce</w:t>
      </w:r>
      <w:proofErr w:type="spellEnd"/>
      <w:r w:rsidRPr="00D06F41">
        <w:rPr>
          <w:lang w:val="en-GB"/>
        </w:rPr>
        <w:t xml:space="preserve"> – </w:t>
      </w:r>
      <w:r w:rsidR="009752B2">
        <w:rPr>
          <w:lang w:val="en-GB"/>
        </w:rPr>
        <w:t>E</w:t>
      </w:r>
      <w:r w:rsidRPr="00D06F41">
        <w:rPr>
          <w:lang w:val="en-GB"/>
        </w:rPr>
        <w:t>ntry</w:t>
      </w:r>
      <w:r>
        <w:rPr>
          <w:lang w:val="en-GB"/>
        </w:rPr>
        <w:t>/</w:t>
      </w:r>
      <w:r w:rsidR="009752B2">
        <w:rPr>
          <w:lang w:val="en-GB"/>
        </w:rPr>
        <w:t>E</w:t>
      </w:r>
      <w:r>
        <w:rPr>
          <w:lang w:val="en-GB"/>
        </w:rPr>
        <w:t>xit</w:t>
      </w:r>
      <w:r w:rsidRPr="00D06F41">
        <w:rPr>
          <w:lang w:val="en-GB"/>
        </w:rPr>
        <w:t xml:space="preserve"> point from</w:t>
      </w:r>
      <w:r>
        <w:rPr>
          <w:lang w:val="en-GB"/>
        </w:rPr>
        <w:t>/to</w:t>
      </w:r>
      <w:r w:rsidRPr="00D06F41">
        <w:rPr>
          <w:lang w:val="en-GB"/>
        </w:rPr>
        <w:t xml:space="preserve"> the transmission network of gas facilities on the</w:t>
      </w:r>
      <w:r>
        <w:rPr>
          <w:lang w:val="en-GB"/>
        </w:rPr>
        <w:t xml:space="preserve"> </w:t>
      </w:r>
      <w:r w:rsidRPr="00D06F41">
        <w:rPr>
          <w:lang w:val="en-GB"/>
        </w:rPr>
        <w:t>territory of Hungary</w:t>
      </w:r>
    </w:p>
    <w:p w14:paraId="476BAA37" w14:textId="77777777" w:rsidR="006D7E8E" w:rsidRPr="006D7E8E" w:rsidRDefault="006D7E8E" w:rsidP="006D7E8E">
      <w:pPr>
        <w:jc w:val="both"/>
        <w:rPr>
          <w:lang w:val="en-GB"/>
        </w:rPr>
      </w:pPr>
    </w:p>
    <w:p w14:paraId="086DCB5D" w14:textId="7E9B0638" w:rsidR="00D06F41" w:rsidRPr="00182EE0" w:rsidRDefault="00D06F41" w:rsidP="000241EB">
      <w:pPr>
        <w:pStyle w:val="Odsekzoznamu"/>
        <w:numPr>
          <w:ilvl w:val="0"/>
          <w:numId w:val="22"/>
        </w:numPr>
        <w:jc w:val="both"/>
        <w:rPr>
          <w:lang w:val="en-GB"/>
        </w:rPr>
      </w:pPr>
      <w:r w:rsidRPr="00182EE0">
        <w:rPr>
          <w:lang w:val="en-GB"/>
        </w:rPr>
        <w:t>V</w:t>
      </w:r>
      <w:proofErr w:type="spellStart"/>
      <w:r w:rsidRPr="00182EE0">
        <w:t>ýrava</w:t>
      </w:r>
      <w:proofErr w:type="spellEnd"/>
      <w:r w:rsidRPr="00182EE0">
        <w:rPr>
          <w:lang w:val="en-GB"/>
        </w:rPr>
        <w:t xml:space="preserve"> – </w:t>
      </w:r>
      <w:r w:rsidR="009752B2">
        <w:rPr>
          <w:lang w:val="en-GB"/>
        </w:rPr>
        <w:t>E</w:t>
      </w:r>
      <w:r w:rsidRPr="00182EE0">
        <w:rPr>
          <w:lang w:val="en-GB"/>
        </w:rPr>
        <w:t>ntry/</w:t>
      </w:r>
      <w:r w:rsidR="009752B2">
        <w:rPr>
          <w:lang w:val="en-GB"/>
        </w:rPr>
        <w:t>E</w:t>
      </w:r>
      <w:r w:rsidRPr="00182EE0">
        <w:rPr>
          <w:lang w:val="en-GB"/>
        </w:rPr>
        <w:t>xit point from/to the transmission network of gas facilities on the territory of Poland</w:t>
      </w:r>
    </w:p>
    <w:p w14:paraId="771F57EB" w14:textId="77777777" w:rsidR="001E627E" w:rsidRDefault="001E627E" w:rsidP="001E627E">
      <w:pPr>
        <w:jc w:val="both"/>
        <w:rPr>
          <w:lang w:val="en-GB"/>
        </w:rPr>
      </w:pPr>
    </w:p>
    <w:p w14:paraId="42AF4B58" w14:textId="790A4928" w:rsidR="001738E3" w:rsidRPr="00D23615" w:rsidRDefault="00A2499B" w:rsidP="0002107F">
      <w:pPr>
        <w:jc w:val="both"/>
        <w:rPr>
          <w:b/>
          <w:i/>
          <w:lang w:val="en-GB"/>
        </w:rPr>
      </w:pPr>
      <w:r>
        <w:rPr>
          <w:lang w:val="en-GB"/>
        </w:rPr>
        <w:t>Before</w:t>
      </w:r>
      <w:r w:rsidR="00CB059C">
        <w:rPr>
          <w:lang w:val="en-GB"/>
        </w:rPr>
        <w:t xml:space="preserve"> adopting a motivated D</w:t>
      </w:r>
      <w:r w:rsidR="003A4ACD">
        <w:rPr>
          <w:lang w:val="en-GB"/>
        </w:rPr>
        <w:t xml:space="preserve">ecision, the Office </w:t>
      </w:r>
      <w:r w:rsidR="00B200EF">
        <w:rPr>
          <w:lang w:val="en-GB"/>
        </w:rPr>
        <w:t>will</w:t>
      </w:r>
      <w:r w:rsidR="00891C77">
        <w:rPr>
          <w:lang w:val="en-GB"/>
        </w:rPr>
        <w:t xml:space="preserve"> consider the C</w:t>
      </w:r>
      <w:r w:rsidR="003A4ACD">
        <w:rPr>
          <w:lang w:val="en-GB"/>
        </w:rPr>
        <w:t xml:space="preserve">onsultation responses received and the </w:t>
      </w:r>
      <w:r w:rsidR="00C752C0">
        <w:rPr>
          <w:lang w:val="en-GB"/>
        </w:rPr>
        <w:t>aspects set out in the Article 28</w:t>
      </w:r>
      <w:r w:rsidR="000241EB">
        <w:rPr>
          <w:lang w:val="en-GB"/>
        </w:rPr>
        <w:t xml:space="preserve"> </w:t>
      </w:r>
      <w:r w:rsidR="00C752C0">
        <w:rPr>
          <w:lang w:val="en-GB"/>
        </w:rPr>
        <w:t>(3) of the TAR NC.</w:t>
      </w:r>
    </w:p>
    <w:p w14:paraId="59EA576B" w14:textId="77777777" w:rsidR="00300ED2" w:rsidRDefault="00300ED2">
      <w:pPr>
        <w:spacing w:after="160" w:line="259" w:lineRule="auto"/>
        <w:rPr>
          <w:b/>
          <w:lang w:val="en-GB"/>
        </w:rPr>
      </w:pPr>
      <w:r>
        <w:rPr>
          <w:b/>
          <w:lang w:val="en-GB"/>
        </w:rPr>
        <w:br w:type="page"/>
      </w:r>
    </w:p>
    <w:p w14:paraId="6DE023C2" w14:textId="7CE9BCDF" w:rsidR="005F75B6" w:rsidRPr="00FB7191" w:rsidRDefault="00474624" w:rsidP="00FB7191">
      <w:pPr>
        <w:pStyle w:val="Odsekzoznamu"/>
        <w:numPr>
          <w:ilvl w:val="0"/>
          <w:numId w:val="3"/>
        </w:numPr>
        <w:spacing w:after="160" w:line="259" w:lineRule="auto"/>
        <w:jc w:val="both"/>
        <w:rPr>
          <w:b/>
          <w:lang w:val="en-GB"/>
        </w:rPr>
      </w:pPr>
      <w:r>
        <w:rPr>
          <w:b/>
          <w:lang w:val="en-GB"/>
        </w:rPr>
        <w:lastRenderedPageBreak/>
        <w:t xml:space="preserve">Subject of the Consultation - </w:t>
      </w:r>
      <w:r w:rsidR="00A45390">
        <w:rPr>
          <w:b/>
          <w:lang w:val="en-GB"/>
        </w:rPr>
        <w:t>p</w:t>
      </w:r>
      <w:r w:rsidR="00F5424C" w:rsidRPr="00FB7191">
        <w:rPr>
          <w:b/>
          <w:lang w:val="en-GB"/>
        </w:rPr>
        <w:t>roposal</w:t>
      </w:r>
      <w:r w:rsidR="00CF51D7" w:rsidRPr="00FB7191">
        <w:rPr>
          <w:b/>
          <w:lang w:val="en-GB"/>
        </w:rPr>
        <w:t xml:space="preserve"> </w:t>
      </w:r>
      <w:r w:rsidR="00485CDB" w:rsidRPr="00FB7191">
        <w:rPr>
          <w:b/>
          <w:lang w:val="en-GB"/>
        </w:rPr>
        <w:t xml:space="preserve">on the aspects referred to </w:t>
      </w:r>
      <w:r w:rsidR="0019369A" w:rsidRPr="00FB7191">
        <w:rPr>
          <w:b/>
          <w:lang w:val="en-GB"/>
        </w:rPr>
        <w:t xml:space="preserve">in the Article 28 </w:t>
      </w:r>
      <w:r w:rsidR="00E16EBC" w:rsidRPr="00FB7191">
        <w:rPr>
          <w:b/>
          <w:lang w:val="en-GB"/>
        </w:rPr>
        <w:t>of</w:t>
      </w:r>
      <w:r w:rsidR="00A04536">
        <w:rPr>
          <w:b/>
          <w:lang w:val="en-GB"/>
        </w:rPr>
        <w:t> </w:t>
      </w:r>
      <w:r w:rsidR="00E16EBC" w:rsidRPr="00FB7191">
        <w:rPr>
          <w:b/>
          <w:lang w:val="en-GB"/>
        </w:rPr>
        <w:t xml:space="preserve">the </w:t>
      </w:r>
      <w:r w:rsidR="0019369A" w:rsidRPr="00FB7191">
        <w:rPr>
          <w:b/>
          <w:lang w:val="en-GB"/>
        </w:rPr>
        <w:t>TAR NC</w:t>
      </w:r>
    </w:p>
    <w:p w14:paraId="5695DF13" w14:textId="670765C3" w:rsidR="005C6028" w:rsidRPr="005C6028" w:rsidRDefault="005C6028" w:rsidP="005C6028">
      <w:pPr>
        <w:spacing w:after="160" w:line="259" w:lineRule="auto"/>
        <w:jc w:val="both"/>
        <w:rPr>
          <w:lang w:val="en-GB"/>
        </w:rPr>
      </w:pPr>
      <w:r w:rsidRPr="005C6028">
        <w:rPr>
          <w:lang w:val="en-GB"/>
        </w:rPr>
        <w:t>The subject of th</w:t>
      </w:r>
      <w:r w:rsidR="004961A6">
        <w:rPr>
          <w:lang w:val="en-GB"/>
        </w:rPr>
        <w:t>e</w:t>
      </w:r>
      <w:r w:rsidRPr="005C6028">
        <w:rPr>
          <w:lang w:val="en-GB"/>
        </w:rPr>
        <w:t xml:space="preserve"> Consultation Document is the proposal of parameters according to Article 28</w:t>
      </w:r>
      <w:r w:rsidR="004961A6">
        <w:rPr>
          <w:lang w:val="en-GB"/>
        </w:rPr>
        <w:t>(</w:t>
      </w:r>
      <w:r w:rsidRPr="005C6028">
        <w:rPr>
          <w:lang w:val="en-GB"/>
        </w:rPr>
        <w:t>1</w:t>
      </w:r>
      <w:r w:rsidR="004961A6">
        <w:rPr>
          <w:lang w:val="en-GB"/>
        </w:rPr>
        <w:t>)(</w:t>
      </w:r>
      <w:r w:rsidRPr="005C6028">
        <w:rPr>
          <w:lang w:val="en-GB"/>
        </w:rPr>
        <w:t xml:space="preserve">a), </w:t>
      </w:r>
      <w:r w:rsidR="004961A6">
        <w:rPr>
          <w:lang w:val="en-GB"/>
        </w:rPr>
        <w:t>(</w:t>
      </w:r>
      <w:r w:rsidRPr="005C6028">
        <w:rPr>
          <w:lang w:val="en-GB"/>
        </w:rPr>
        <w:t xml:space="preserve">b) and </w:t>
      </w:r>
      <w:r w:rsidR="004961A6">
        <w:rPr>
          <w:lang w:val="en-GB"/>
        </w:rPr>
        <w:t>(</w:t>
      </w:r>
      <w:r w:rsidRPr="005C6028">
        <w:rPr>
          <w:lang w:val="en-GB"/>
        </w:rPr>
        <w:t xml:space="preserve">c) </w:t>
      </w:r>
      <w:r w:rsidR="004961A6">
        <w:rPr>
          <w:lang w:val="en-GB"/>
        </w:rPr>
        <w:t xml:space="preserve">of the </w:t>
      </w:r>
      <w:r w:rsidRPr="005C6028">
        <w:rPr>
          <w:lang w:val="en-GB"/>
        </w:rPr>
        <w:t>TAR NC relating to the trans</w:t>
      </w:r>
      <w:r w:rsidR="004961A6">
        <w:rPr>
          <w:lang w:val="en-GB"/>
        </w:rPr>
        <w:t>mission</w:t>
      </w:r>
      <w:r w:rsidRPr="005C6028">
        <w:rPr>
          <w:lang w:val="en-GB"/>
        </w:rPr>
        <w:t xml:space="preserve"> </w:t>
      </w:r>
      <w:r w:rsidR="004961A6">
        <w:rPr>
          <w:lang w:val="en-GB"/>
        </w:rPr>
        <w:t>system</w:t>
      </w:r>
      <w:r w:rsidRPr="005C6028">
        <w:rPr>
          <w:lang w:val="en-GB"/>
        </w:rPr>
        <w:t xml:space="preserve"> in the defined territory of the Slovak Republic, the operator of which is the company </w:t>
      </w:r>
      <w:proofErr w:type="spellStart"/>
      <w:r w:rsidRPr="005C6028">
        <w:rPr>
          <w:lang w:val="en-GB"/>
        </w:rPr>
        <w:t>eustream</w:t>
      </w:r>
      <w:proofErr w:type="spellEnd"/>
      <w:r w:rsidRPr="005C6028">
        <w:rPr>
          <w:lang w:val="en-GB"/>
        </w:rPr>
        <w:t xml:space="preserve">, </w:t>
      </w:r>
      <w:proofErr w:type="spellStart"/>
      <w:r w:rsidRPr="005C6028">
        <w:rPr>
          <w:lang w:val="en-GB"/>
        </w:rPr>
        <w:t>a.s</w:t>
      </w:r>
      <w:proofErr w:type="spellEnd"/>
      <w:r w:rsidRPr="005C6028">
        <w:rPr>
          <w:lang w:val="en-GB"/>
        </w:rPr>
        <w:t xml:space="preserve">. with registered office at </w:t>
      </w:r>
      <w:proofErr w:type="spellStart"/>
      <w:r w:rsidRPr="005C6028">
        <w:rPr>
          <w:lang w:val="en-GB"/>
        </w:rPr>
        <w:t>Votrubova</w:t>
      </w:r>
      <w:proofErr w:type="spellEnd"/>
      <w:r w:rsidRPr="005C6028">
        <w:rPr>
          <w:lang w:val="en-GB"/>
        </w:rPr>
        <w:t xml:space="preserve"> 11/A, 821 09 Bratislava, Slovak Republic.</w:t>
      </w:r>
    </w:p>
    <w:p w14:paraId="6E44CFD7" w14:textId="1A9AB2E1" w:rsidR="00B02E6B" w:rsidRDefault="00B02E6B" w:rsidP="005C6028">
      <w:pPr>
        <w:spacing w:after="160" w:line="259" w:lineRule="auto"/>
        <w:jc w:val="both"/>
        <w:rPr>
          <w:lang w:val="en-GB"/>
        </w:rPr>
      </w:pPr>
      <w:r w:rsidRPr="0025756C">
        <w:rPr>
          <w:bCs/>
          <w:lang w:val="en-GB"/>
        </w:rPr>
        <w:t>The Office proposes to apply the parameters according to Article 28</w:t>
      </w:r>
      <w:r>
        <w:rPr>
          <w:bCs/>
          <w:lang w:val="en-GB"/>
        </w:rPr>
        <w:t>(1)(</w:t>
      </w:r>
      <w:r w:rsidRPr="0025756C">
        <w:rPr>
          <w:bCs/>
          <w:lang w:val="en-GB"/>
        </w:rPr>
        <w:t>a)</w:t>
      </w:r>
      <w:r>
        <w:rPr>
          <w:bCs/>
          <w:lang w:val="en-GB"/>
        </w:rPr>
        <w:t>, (</w:t>
      </w:r>
      <w:r w:rsidRPr="0025756C">
        <w:rPr>
          <w:bCs/>
          <w:lang w:val="en-GB"/>
        </w:rPr>
        <w:t>b)</w:t>
      </w:r>
      <w:r>
        <w:rPr>
          <w:bCs/>
          <w:lang w:val="en-GB"/>
        </w:rPr>
        <w:t xml:space="preserve"> and (</w:t>
      </w:r>
      <w:r w:rsidRPr="0025756C">
        <w:rPr>
          <w:bCs/>
          <w:lang w:val="en-GB"/>
        </w:rPr>
        <w:t xml:space="preserve">c) </w:t>
      </w:r>
      <w:r>
        <w:rPr>
          <w:bCs/>
          <w:lang w:val="en-GB"/>
        </w:rPr>
        <w:t xml:space="preserve">of the </w:t>
      </w:r>
      <w:r w:rsidRPr="0025756C">
        <w:rPr>
          <w:bCs/>
          <w:lang w:val="en-GB"/>
        </w:rPr>
        <w:t>TAR NC relating to the trans</w:t>
      </w:r>
      <w:r>
        <w:rPr>
          <w:bCs/>
          <w:lang w:val="en-GB"/>
        </w:rPr>
        <w:t>mission</w:t>
      </w:r>
      <w:r w:rsidRPr="0025756C">
        <w:rPr>
          <w:bCs/>
          <w:lang w:val="en-GB"/>
        </w:rPr>
        <w:t xml:space="preserve"> </w:t>
      </w:r>
      <w:r>
        <w:rPr>
          <w:bCs/>
          <w:lang w:val="en-GB"/>
        </w:rPr>
        <w:t>system</w:t>
      </w:r>
      <w:r w:rsidRPr="0025756C">
        <w:rPr>
          <w:bCs/>
          <w:lang w:val="en-GB"/>
        </w:rPr>
        <w:t xml:space="preserve"> in the defined territory of the Slovak Republic, </w:t>
      </w:r>
      <w:r>
        <w:rPr>
          <w:bCs/>
          <w:lang w:val="en-GB"/>
        </w:rPr>
        <w:t>determined</w:t>
      </w:r>
      <w:r w:rsidRPr="0025756C">
        <w:rPr>
          <w:bCs/>
          <w:lang w:val="en-GB"/>
        </w:rPr>
        <w:t xml:space="preserve"> on the basis of this Consultation, in the period from </w:t>
      </w:r>
      <w:r>
        <w:rPr>
          <w:bCs/>
          <w:lang w:val="en-GB"/>
        </w:rPr>
        <w:t xml:space="preserve">1 </w:t>
      </w:r>
      <w:r w:rsidRPr="0025756C">
        <w:rPr>
          <w:bCs/>
          <w:lang w:val="en-GB"/>
        </w:rPr>
        <w:t>January 202</w:t>
      </w:r>
      <w:r w:rsidR="00BE4F86">
        <w:rPr>
          <w:bCs/>
          <w:lang w:val="en-GB"/>
        </w:rPr>
        <w:t>6</w:t>
      </w:r>
      <w:r w:rsidRPr="0025756C">
        <w:rPr>
          <w:bCs/>
          <w:lang w:val="en-GB"/>
        </w:rPr>
        <w:t xml:space="preserve"> until the end of the current regulation period (</w:t>
      </w:r>
      <w:r w:rsidR="00BE4F86">
        <w:rPr>
          <w:bCs/>
          <w:lang w:val="en-GB"/>
        </w:rPr>
        <w:t xml:space="preserve">i.e., by </w:t>
      </w:r>
      <w:r>
        <w:rPr>
          <w:bCs/>
          <w:lang w:val="en-GB"/>
        </w:rPr>
        <w:t xml:space="preserve">31 </w:t>
      </w:r>
      <w:r w:rsidRPr="0025756C">
        <w:rPr>
          <w:bCs/>
          <w:lang w:val="en-GB"/>
        </w:rPr>
        <w:t>December 2027).</w:t>
      </w:r>
    </w:p>
    <w:p w14:paraId="12EE158C" w14:textId="56935C32" w:rsidR="00E824A4" w:rsidRPr="00981928" w:rsidRDefault="005C6028" w:rsidP="005C6028">
      <w:pPr>
        <w:spacing w:after="160" w:line="259" w:lineRule="auto"/>
        <w:jc w:val="both"/>
        <w:rPr>
          <w:lang w:val="en-GB"/>
        </w:rPr>
      </w:pPr>
      <w:r w:rsidRPr="005C6028">
        <w:rPr>
          <w:lang w:val="en-GB"/>
        </w:rPr>
        <w:t xml:space="preserve">As stated in the introduction of the Consultation Document, in terms of TAR NC, this Consultation applies exclusively to EU </w:t>
      </w:r>
      <w:r w:rsidR="00EF58F6">
        <w:rPr>
          <w:lang w:val="en-GB"/>
        </w:rPr>
        <w:t>i</w:t>
      </w:r>
      <w:r w:rsidRPr="005C6028">
        <w:rPr>
          <w:lang w:val="en-GB"/>
        </w:rPr>
        <w:t xml:space="preserve">nterconnection </w:t>
      </w:r>
      <w:r w:rsidR="00A30BA2">
        <w:rPr>
          <w:lang w:val="en-GB"/>
        </w:rPr>
        <w:t>p</w:t>
      </w:r>
      <w:r w:rsidRPr="005C6028">
        <w:rPr>
          <w:lang w:val="en-GB"/>
        </w:rPr>
        <w:t>oints.</w:t>
      </w:r>
    </w:p>
    <w:p w14:paraId="52BD4BF6" w14:textId="166A0ED0" w:rsidR="000162BE" w:rsidRDefault="009A5B93" w:rsidP="00DB7C88">
      <w:pPr>
        <w:pStyle w:val="Odsekzoznamu"/>
        <w:numPr>
          <w:ilvl w:val="0"/>
          <w:numId w:val="17"/>
        </w:numPr>
        <w:jc w:val="both"/>
        <w:rPr>
          <w:b/>
          <w:lang w:val="en-GB"/>
        </w:rPr>
      </w:pPr>
      <w:r>
        <w:rPr>
          <w:b/>
          <w:lang w:val="en-GB"/>
        </w:rPr>
        <w:t xml:space="preserve">Proposal </w:t>
      </w:r>
      <w:r w:rsidR="00377A4D">
        <w:rPr>
          <w:b/>
          <w:lang w:val="en-GB"/>
        </w:rPr>
        <w:t>o</w:t>
      </w:r>
      <w:r>
        <w:rPr>
          <w:b/>
          <w:lang w:val="en-GB"/>
        </w:rPr>
        <w:t xml:space="preserve">f the </w:t>
      </w:r>
      <w:r w:rsidR="00C44E7C" w:rsidRPr="0042571E">
        <w:rPr>
          <w:b/>
          <w:lang w:val="en-GB"/>
        </w:rPr>
        <w:t>level</w:t>
      </w:r>
      <w:r w:rsidR="002132D2">
        <w:rPr>
          <w:b/>
          <w:lang w:val="en-GB"/>
        </w:rPr>
        <w:t>s</w:t>
      </w:r>
      <w:r w:rsidR="00C44E7C" w:rsidRPr="0042571E">
        <w:rPr>
          <w:b/>
          <w:lang w:val="en-GB"/>
        </w:rPr>
        <w:t xml:space="preserve"> of multipliers </w:t>
      </w:r>
      <w:r>
        <w:rPr>
          <w:b/>
          <w:lang w:val="en-GB"/>
        </w:rPr>
        <w:t>(</w:t>
      </w:r>
      <w:r w:rsidR="008C0624">
        <w:rPr>
          <w:b/>
          <w:lang w:val="en-GB"/>
        </w:rPr>
        <w:t>pursuant to</w:t>
      </w:r>
      <w:r w:rsidR="00846A68">
        <w:rPr>
          <w:b/>
          <w:lang w:val="en-GB"/>
        </w:rPr>
        <w:t xml:space="preserve"> the </w:t>
      </w:r>
      <w:r>
        <w:rPr>
          <w:b/>
          <w:lang w:val="en-GB"/>
        </w:rPr>
        <w:t>Article 28 (1)(a) of the TAR NC)</w:t>
      </w:r>
    </w:p>
    <w:p w14:paraId="43180DBC" w14:textId="77777777" w:rsidR="0042571E" w:rsidRPr="0042571E" w:rsidRDefault="0042571E" w:rsidP="0042571E">
      <w:pPr>
        <w:pStyle w:val="Odsekzoznamu"/>
        <w:jc w:val="both"/>
        <w:rPr>
          <w:b/>
          <w:lang w:val="en-GB"/>
        </w:rPr>
      </w:pPr>
    </w:p>
    <w:p w14:paraId="055BCCD6" w14:textId="7080456E" w:rsidR="00201980" w:rsidRPr="00EC084E" w:rsidRDefault="00201980" w:rsidP="00201980">
      <w:pPr>
        <w:spacing w:line="259" w:lineRule="auto"/>
        <w:jc w:val="both"/>
        <w:rPr>
          <w:lang w:val="en-GB"/>
        </w:rPr>
      </w:pPr>
      <w:r w:rsidRPr="00EC084E">
        <w:rPr>
          <w:lang w:val="en-GB"/>
        </w:rPr>
        <w:t>The</w:t>
      </w:r>
      <w:r w:rsidR="00556DEF">
        <w:rPr>
          <w:lang w:val="en-GB"/>
        </w:rPr>
        <w:t xml:space="preserve"> </w:t>
      </w:r>
      <w:r w:rsidR="002132D2">
        <w:rPr>
          <w:lang w:val="en-GB"/>
        </w:rPr>
        <w:t xml:space="preserve">Office proposes the following </w:t>
      </w:r>
      <w:r w:rsidRPr="00EC084E">
        <w:rPr>
          <w:lang w:val="en-GB"/>
        </w:rPr>
        <w:t>level</w:t>
      </w:r>
      <w:r w:rsidR="002132D2">
        <w:rPr>
          <w:lang w:val="en-GB"/>
        </w:rPr>
        <w:t>s</w:t>
      </w:r>
      <w:r w:rsidRPr="00EC084E">
        <w:rPr>
          <w:lang w:val="en-GB"/>
        </w:rPr>
        <w:t xml:space="preserve"> of multipliers for non-yearly standard capacity products</w:t>
      </w:r>
      <w:r w:rsidR="00F07919">
        <w:rPr>
          <w:lang w:val="en-GB"/>
        </w:rPr>
        <w:t>:</w:t>
      </w:r>
    </w:p>
    <w:p w14:paraId="2DCDE0B2" w14:textId="77777777" w:rsidR="00201980" w:rsidRPr="00EC084E" w:rsidRDefault="00201980" w:rsidP="00201980">
      <w:pPr>
        <w:spacing w:line="259" w:lineRule="auto"/>
        <w:jc w:val="both"/>
        <w:rPr>
          <w:lang w:val="en-GB"/>
        </w:rPr>
      </w:pPr>
    </w:p>
    <w:tbl>
      <w:tblPr>
        <w:tblStyle w:val="Mriekatabuky"/>
        <w:tblpPr w:leftFromText="141" w:rightFromText="141" w:vertAnchor="text" w:tblpY="1"/>
        <w:tblOverlap w:val="never"/>
        <w:tblW w:w="0" w:type="auto"/>
        <w:tblLook w:val="04A0" w:firstRow="1" w:lastRow="0" w:firstColumn="1" w:lastColumn="0" w:noHBand="0" w:noVBand="1"/>
      </w:tblPr>
      <w:tblGrid>
        <w:gridCol w:w="4957"/>
        <w:gridCol w:w="2551"/>
      </w:tblGrid>
      <w:tr w:rsidR="00201980" w:rsidRPr="00EC084E" w14:paraId="2FA0D1D6" w14:textId="77777777" w:rsidTr="00DB7C88">
        <w:tc>
          <w:tcPr>
            <w:tcW w:w="4957" w:type="dxa"/>
          </w:tcPr>
          <w:p w14:paraId="4E31D3EC" w14:textId="77777777" w:rsidR="00201980" w:rsidRPr="00EC084E" w:rsidRDefault="00201980" w:rsidP="00DB7C88">
            <w:pPr>
              <w:spacing w:line="259" w:lineRule="auto"/>
              <w:jc w:val="both"/>
              <w:rPr>
                <w:b/>
                <w:lang w:val="en-GB"/>
              </w:rPr>
            </w:pPr>
            <w:r w:rsidRPr="00EC084E">
              <w:rPr>
                <w:b/>
                <w:lang w:val="en-GB"/>
              </w:rPr>
              <w:t>Type of non-yearly standard capacity product</w:t>
            </w:r>
          </w:p>
        </w:tc>
        <w:tc>
          <w:tcPr>
            <w:tcW w:w="2551" w:type="dxa"/>
          </w:tcPr>
          <w:p w14:paraId="689BD49B" w14:textId="77777777" w:rsidR="00201980" w:rsidRPr="00EC084E" w:rsidRDefault="00201980" w:rsidP="00DB7C88">
            <w:pPr>
              <w:spacing w:line="259" w:lineRule="auto"/>
              <w:jc w:val="center"/>
              <w:rPr>
                <w:b/>
                <w:lang w:val="en-GB"/>
              </w:rPr>
            </w:pPr>
            <w:r w:rsidRPr="00EC084E">
              <w:rPr>
                <w:b/>
                <w:lang w:val="en-GB"/>
              </w:rPr>
              <w:t>Multiplier</w:t>
            </w:r>
          </w:p>
          <w:p w14:paraId="3D383046" w14:textId="77777777" w:rsidR="00201980" w:rsidRPr="00EC084E" w:rsidRDefault="00201980" w:rsidP="00DB7C88">
            <w:pPr>
              <w:spacing w:line="259" w:lineRule="auto"/>
              <w:jc w:val="center"/>
              <w:rPr>
                <w:b/>
                <w:lang w:val="en-GB"/>
              </w:rPr>
            </w:pPr>
          </w:p>
        </w:tc>
      </w:tr>
      <w:tr w:rsidR="00201980" w:rsidRPr="00EC084E" w14:paraId="5C7A600F" w14:textId="77777777" w:rsidTr="00DB7C88">
        <w:tc>
          <w:tcPr>
            <w:tcW w:w="4957" w:type="dxa"/>
          </w:tcPr>
          <w:p w14:paraId="479EC181" w14:textId="77777777" w:rsidR="00201980" w:rsidRDefault="00201980" w:rsidP="00DB7C88">
            <w:pPr>
              <w:spacing w:line="259" w:lineRule="auto"/>
              <w:jc w:val="both"/>
              <w:rPr>
                <w:lang w:val="en-GB"/>
              </w:rPr>
            </w:pPr>
            <w:r w:rsidRPr="00EC084E">
              <w:rPr>
                <w:lang w:val="en-GB"/>
              </w:rPr>
              <w:t>Quarterly standard capacity product</w:t>
            </w:r>
            <w:r w:rsidR="00FD31C7">
              <w:rPr>
                <w:lang w:val="en-GB"/>
              </w:rPr>
              <w:t>s</w:t>
            </w:r>
            <w:r w:rsidRPr="00EC084E">
              <w:rPr>
                <w:lang w:val="en-GB"/>
              </w:rPr>
              <w:t xml:space="preserve"> </w:t>
            </w:r>
          </w:p>
          <w:p w14:paraId="307245A2" w14:textId="77777777" w:rsidR="006B12D7" w:rsidRPr="00EC084E" w:rsidRDefault="006B12D7" w:rsidP="00DB7C88">
            <w:pPr>
              <w:spacing w:line="259" w:lineRule="auto"/>
              <w:jc w:val="both"/>
              <w:rPr>
                <w:lang w:val="en-GB"/>
              </w:rPr>
            </w:pPr>
          </w:p>
        </w:tc>
        <w:tc>
          <w:tcPr>
            <w:tcW w:w="2551" w:type="dxa"/>
          </w:tcPr>
          <w:p w14:paraId="2AE6348A" w14:textId="6782C290" w:rsidR="00201980" w:rsidRPr="00EC084E" w:rsidRDefault="0074243B" w:rsidP="00A6323D">
            <w:pPr>
              <w:spacing w:line="259" w:lineRule="auto"/>
              <w:jc w:val="center"/>
              <w:rPr>
                <w:lang w:val="en-GB"/>
              </w:rPr>
            </w:pPr>
            <w:r>
              <w:rPr>
                <w:lang w:val="en-GB"/>
              </w:rPr>
              <w:t>1</w:t>
            </w:r>
            <w:r w:rsidR="00A6323D">
              <w:rPr>
                <w:lang w:val="en-GB"/>
              </w:rPr>
              <w:t>.</w:t>
            </w:r>
            <w:r>
              <w:rPr>
                <w:lang w:val="en-GB"/>
              </w:rPr>
              <w:t>5</w:t>
            </w:r>
            <w:r w:rsidR="007C1F3F">
              <w:rPr>
                <w:lang w:val="en-GB"/>
              </w:rPr>
              <w:t>0</w:t>
            </w:r>
            <w:r w:rsidR="002E1DAF">
              <w:rPr>
                <w:lang w:val="en-GB"/>
              </w:rPr>
              <w:t>0</w:t>
            </w:r>
          </w:p>
        </w:tc>
      </w:tr>
      <w:tr w:rsidR="00201980" w:rsidRPr="00EC084E" w14:paraId="1771E051" w14:textId="77777777" w:rsidTr="00DB7C88">
        <w:tc>
          <w:tcPr>
            <w:tcW w:w="4957" w:type="dxa"/>
          </w:tcPr>
          <w:p w14:paraId="5DC3F5B1" w14:textId="77777777" w:rsidR="00201980" w:rsidRDefault="00201980" w:rsidP="00DB7C88">
            <w:pPr>
              <w:spacing w:line="259" w:lineRule="auto"/>
              <w:jc w:val="both"/>
              <w:rPr>
                <w:lang w:val="en-GB"/>
              </w:rPr>
            </w:pPr>
            <w:r w:rsidRPr="00EC084E">
              <w:rPr>
                <w:lang w:val="en-GB"/>
              </w:rPr>
              <w:t>Monthly standard capacity product</w:t>
            </w:r>
            <w:r w:rsidR="00FD31C7">
              <w:rPr>
                <w:lang w:val="en-GB"/>
              </w:rPr>
              <w:t>s</w:t>
            </w:r>
          </w:p>
          <w:p w14:paraId="41B563C3" w14:textId="77777777" w:rsidR="006B12D7" w:rsidRPr="00EC084E" w:rsidRDefault="006B12D7" w:rsidP="00DB7C88">
            <w:pPr>
              <w:spacing w:line="259" w:lineRule="auto"/>
              <w:jc w:val="both"/>
              <w:rPr>
                <w:lang w:val="en-GB"/>
              </w:rPr>
            </w:pPr>
          </w:p>
        </w:tc>
        <w:tc>
          <w:tcPr>
            <w:tcW w:w="2551" w:type="dxa"/>
          </w:tcPr>
          <w:p w14:paraId="66C10F39" w14:textId="1E6F0839" w:rsidR="00201980" w:rsidRPr="00EC084E" w:rsidRDefault="0074243B" w:rsidP="00A6323D">
            <w:pPr>
              <w:spacing w:line="259" w:lineRule="auto"/>
              <w:jc w:val="center"/>
              <w:rPr>
                <w:lang w:val="en-GB"/>
              </w:rPr>
            </w:pPr>
            <w:r>
              <w:rPr>
                <w:lang w:val="en-GB"/>
              </w:rPr>
              <w:t>1</w:t>
            </w:r>
            <w:r w:rsidR="00A6323D">
              <w:rPr>
                <w:lang w:val="en-GB"/>
              </w:rPr>
              <w:t>.</w:t>
            </w:r>
            <w:r>
              <w:rPr>
                <w:lang w:val="en-GB"/>
              </w:rPr>
              <w:t>5</w:t>
            </w:r>
            <w:r w:rsidR="007C1F3F">
              <w:rPr>
                <w:lang w:val="en-GB"/>
              </w:rPr>
              <w:t>0</w:t>
            </w:r>
            <w:r w:rsidR="002E1DAF">
              <w:rPr>
                <w:lang w:val="en-GB"/>
              </w:rPr>
              <w:t>0</w:t>
            </w:r>
          </w:p>
        </w:tc>
      </w:tr>
      <w:tr w:rsidR="00201980" w:rsidRPr="00EC084E" w14:paraId="71010A2A" w14:textId="77777777" w:rsidTr="00DB7C88">
        <w:tc>
          <w:tcPr>
            <w:tcW w:w="4957" w:type="dxa"/>
          </w:tcPr>
          <w:p w14:paraId="06B73867" w14:textId="77777777" w:rsidR="00201980" w:rsidRDefault="00201980" w:rsidP="00DB7C88">
            <w:pPr>
              <w:spacing w:line="259" w:lineRule="auto"/>
              <w:jc w:val="both"/>
              <w:rPr>
                <w:lang w:val="en-GB"/>
              </w:rPr>
            </w:pPr>
            <w:r w:rsidRPr="00EC084E">
              <w:rPr>
                <w:lang w:val="en-GB"/>
              </w:rPr>
              <w:t>Daily standard capacity product</w:t>
            </w:r>
            <w:r w:rsidR="00FD31C7">
              <w:rPr>
                <w:lang w:val="en-GB"/>
              </w:rPr>
              <w:t>s</w:t>
            </w:r>
          </w:p>
          <w:p w14:paraId="3DFB8B01" w14:textId="77777777" w:rsidR="006B12D7" w:rsidRPr="00EC084E" w:rsidRDefault="006B12D7" w:rsidP="00DB7C88">
            <w:pPr>
              <w:spacing w:line="259" w:lineRule="auto"/>
              <w:jc w:val="both"/>
              <w:rPr>
                <w:lang w:val="en-GB"/>
              </w:rPr>
            </w:pPr>
          </w:p>
        </w:tc>
        <w:tc>
          <w:tcPr>
            <w:tcW w:w="2551" w:type="dxa"/>
          </w:tcPr>
          <w:p w14:paraId="7610790E" w14:textId="77777777" w:rsidR="00201980" w:rsidRPr="00EC084E" w:rsidRDefault="006C5AA9" w:rsidP="00DB7C88">
            <w:pPr>
              <w:spacing w:line="259" w:lineRule="auto"/>
              <w:jc w:val="center"/>
              <w:rPr>
                <w:lang w:val="en-GB"/>
              </w:rPr>
            </w:pPr>
            <w:r>
              <w:rPr>
                <w:lang w:val="en-GB"/>
              </w:rPr>
              <w:t>2.993</w:t>
            </w:r>
          </w:p>
        </w:tc>
      </w:tr>
      <w:tr w:rsidR="006B12D7" w:rsidRPr="00EC084E" w14:paraId="2EE8E3B6" w14:textId="77777777" w:rsidTr="00DB7C88">
        <w:tc>
          <w:tcPr>
            <w:tcW w:w="4957" w:type="dxa"/>
          </w:tcPr>
          <w:p w14:paraId="4FEFE5AB" w14:textId="77777777" w:rsidR="006B12D7" w:rsidRDefault="006B12D7" w:rsidP="00DB7C88">
            <w:pPr>
              <w:spacing w:line="259" w:lineRule="auto"/>
              <w:jc w:val="both"/>
              <w:rPr>
                <w:lang w:val="en-GB"/>
              </w:rPr>
            </w:pPr>
            <w:r>
              <w:rPr>
                <w:lang w:val="en-GB"/>
              </w:rPr>
              <w:t>W</w:t>
            </w:r>
            <w:r w:rsidRPr="006B12D7">
              <w:rPr>
                <w:lang w:val="en-GB"/>
              </w:rPr>
              <w:t xml:space="preserve">ithin-day </w:t>
            </w:r>
            <w:r>
              <w:rPr>
                <w:lang w:val="en-GB"/>
              </w:rPr>
              <w:t xml:space="preserve">standard </w:t>
            </w:r>
            <w:r w:rsidRPr="006B12D7">
              <w:rPr>
                <w:lang w:val="en-GB"/>
              </w:rPr>
              <w:t xml:space="preserve">capacity </w:t>
            </w:r>
            <w:r>
              <w:rPr>
                <w:lang w:val="en-GB"/>
              </w:rPr>
              <w:t>products</w:t>
            </w:r>
          </w:p>
          <w:p w14:paraId="414AA710" w14:textId="77777777" w:rsidR="006B12D7" w:rsidRPr="00EC084E" w:rsidRDefault="006B12D7" w:rsidP="00DB7C88">
            <w:pPr>
              <w:spacing w:line="259" w:lineRule="auto"/>
              <w:jc w:val="both"/>
              <w:rPr>
                <w:lang w:val="en-GB"/>
              </w:rPr>
            </w:pPr>
          </w:p>
        </w:tc>
        <w:tc>
          <w:tcPr>
            <w:tcW w:w="2551" w:type="dxa"/>
          </w:tcPr>
          <w:p w14:paraId="67F7F7C3" w14:textId="6C791367" w:rsidR="006B12D7" w:rsidRPr="00EC084E" w:rsidRDefault="006C5AA9" w:rsidP="007C1F3F">
            <w:pPr>
              <w:spacing w:line="259" w:lineRule="auto"/>
              <w:jc w:val="center"/>
              <w:rPr>
                <w:lang w:val="en-GB"/>
              </w:rPr>
            </w:pPr>
            <w:r>
              <w:rPr>
                <w:lang w:val="en-GB"/>
              </w:rPr>
              <w:t>2.993</w:t>
            </w:r>
          </w:p>
        </w:tc>
      </w:tr>
    </w:tbl>
    <w:p w14:paraId="377477DD" w14:textId="77777777" w:rsidR="00201980" w:rsidRDefault="00201980" w:rsidP="00201980">
      <w:pPr>
        <w:jc w:val="both"/>
        <w:rPr>
          <w:lang w:val="en-GB"/>
        </w:rPr>
      </w:pPr>
    </w:p>
    <w:p w14:paraId="0A271C59" w14:textId="77777777" w:rsidR="00201980" w:rsidRDefault="00201980" w:rsidP="00201980">
      <w:pPr>
        <w:jc w:val="both"/>
        <w:rPr>
          <w:lang w:val="en-GB"/>
        </w:rPr>
      </w:pPr>
    </w:p>
    <w:p w14:paraId="19774B9D" w14:textId="77777777" w:rsidR="00201980" w:rsidRDefault="00201980" w:rsidP="00201980">
      <w:pPr>
        <w:jc w:val="both"/>
        <w:rPr>
          <w:lang w:val="en-GB"/>
        </w:rPr>
      </w:pPr>
    </w:p>
    <w:p w14:paraId="109C923E" w14:textId="77777777" w:rsidR="00201980" w:rsidRDefault="00201980" w:rsidP="00201980">
      <w:pPr>
        <w:jc w:val="both"/>
        <w:rPr>
          <w:lang w:val="en-GB"/>
        </w:rPr>
      </w:pPr>
    </w:p>
    <w:p w14:paraId="61A2FD95" w14:textId="77777777" w:rsidR="00201980" w:rsidRDefault="00201980" w:rsidP="00201980">
      <w:pPr>
        <w:jc w:val="both"/>
        <w:rPr>
          <w:lang w:val="en-GB"/>
        </w:rPr>
      </w:pPr>
    </w:p>
    <w:p w14:paraId="44E72BA6" w14:textId="77777777" w:rsidR="00201980" w:rsidRDefault="00201980" w:rsidP="00201980">
      <w:pPr>
        <w:jc w:val="both"/>
        <w:rPr>
          <w:lang w:val="en-GB"/>
        </w:rPr>
      </w:pPr>
    </w:p>
    <w:p w14:paraId="73825612" w14:textId="77777777" w:rsidR="00201980" w:rsidRDefault="00201980" w:rsidP="00201980">
      <w:pPr>
        <w:jc w:val="both"/>
        <w:rPr>
          <w:lang w:val="en-GB"/>
        </w:rPr>
      </w:pPr>
    </w:p>
    <w:p w14:paraId="6A2CD76A" w14:textId="77777777" w:rsidR="00201980" w:rsidRDefault="00201980" w:rsidP="00201980">
      <w:pPr>
        <w:jc w:val="both"/>
        <w:rPr>
          <w:lang w:val="en-GB"/>
        </w:rPr>
      </w:pPr>
    </w:p>
    <w:p w14:paraId="5550E67B" w14:textId="77777777" w:rsidR="00201980" w:rsidRDefault="00201980" w:rsidP="00201980">
      <w:pPr>
        <w:jc w:val="both"/>
        <w:rPr>
          <w:lang w:val="en-GB"/>
        </w:rPr>
      </w:pPr>
    </w:p>
    <w:p w14:paraId="1BA6E8E2" w14:textId="77777777" w:rsidR="00201980" w:rsidRDefault="00201980" w:rsidP="00201980">
      <w:pPr>
        <w:jc w:val="both"/>
        <w:rPr>
          <w:lang w:val="en-GB"/>
        </w:rPr>
      </w:pPr>
    </w:p>
    <w:p w14:paraId="6D40E4AA" w14:textId="77777777" w:rsidR="00201980" w:rsidRDefault="00201980" w:rsidP="00201980">
      <w:pPr>
        <w:jc w:val="both"/>
        <w:rPr>
          <w:lang w:val="en-GB"/>
        </w:rPr>
      </w:pPr>
    </w:p>
    <w:p w14:paraId="6D91414B" w14:textId="77777777" w:rsidR="004E4A81" w:rsidRPr="00201980" w:rsidRDefault="004E4A81" w:rsidP="000162BE">
      <w:pPr>
        <w:jc w:val="both"/>
        <w:rPr>
          <w:lang w:val="en-GB"/>
        </w:rPr>
      </w:pPr>
    </w:p>
    <w:p w14:paraId="398930FA" w14:textId="47BE9170" w:rsidR="00154636" w:rsidRPr="00154636" w:rsidRDefault="00154636" w:rsidP="00154636">
      <w:pPr>
        <w:jc w:val="both"/>
        <w:rPr>
          <w:lang w:val="en-GB"/>
        </w:rPr>
      </w:pPr>
      <w:r w:rsidRPr="00154636">
        <w:rPr>
          <w:lang w:val="en-GB"/>
        </w:rPr>
        <w:t xml:space="preserve">When adopting the Decision, the Office will take into account all relevant aspects referred to in Article 28(3) </w:t>
      </w:r>
      <w:r w:rsidR="00987269">
        <w:rPr>
          <w:lang w:val="en-GB"/>
        </w:rPr>
        <w:t xml:space="preserve">of the TAR NC </w:t>
      </w:r>
      <w:r w:rsidR="00B81F87">
        <w:rPr>
          <w:lang w:val="en-GB"/>
        </w:rPr>
        <w:t>concerning</w:t>
      </w:r>
      <w:r w:rsidRPr="00154636">
        <w:rPr>
          <w:lang w:val="en-GB"/>
        </w:rPr>
        <w:t xml:space="preserve"> the multipliers.</w:t>
      </w:r>
    </w:p>
    <w:p w14:paraId="5F28C681" w14:textId="77777777" w:rsidR="00154636" w:rsidRPr="00154636" w:rsidRDefault="00154636" w:rsidP="00154636">
      <w:pPr>
        <w:jc w:val="both"/>
        <w:rPr>
          <w:lang w:val="en-GB"/>
        </w:rPr>
      </w:pPr>
    </w:p>
    <w:p w14:paraId="31BE369E" w14:textId="16B624BC" w:rsidR="00154636" w:rsidRDefault="00154636" w:rsidP="00154636">
      <w:pPr>
        <w:jc w:val="both"/>
        <w:rPr>
          <w:lang w:val="en-GB"/>
        </w:rPr>
      </w:pPr>
      <w:r w:rsidRPr="00154636">
        <w:rPr>
          <w:lang w:val="en-GB"/>
        </w:rPr>
        <w:t>In comparison with the currently applied level of multipli</w:t>
      </w:r>
      <w:r w:rsidR="00987269">
        <w:rPr>
          <w:lang w:val="en-GB"/>
        </w:rPr>
        <w:t>ers</w:t>
      </w:r>
      <w:r w:rsidRPr="00154636">
        <w:rPr>
          <w:lang w:val="en-GB"/>
        </w:rPr>
        <w:t xml:space="preserve">, which was determined by the decision of the Office </w:t>
      </w:r>
      <w:r w:rsidR="00987269">
        <w:rPr>
          <w:lang w:val="en-GB"/>
        </w:rPr>
        <w:t>N</w:t>
      </w:r>
      <w:r w:rsidRPr="00154636">
        <w:rPr>
          <w:lang w:val="en-GB"/>
        </w:rPr>
        <w:t>o. 000</w:t>
      </w:r>
      <w:r w:rsidR="00706D8E">
        <w:rPr>
          <w:lang w:val="en-GB"/>
        </w:rPr>
        <w:t>1</w:t>
      </w:r>
      <w:r w:rsidRPr="00154636">
        <w:rPr>
          <w:lang w:val="en-GB"/>
        </w:rPr>
        <w:t>/20</w:t>
      </w:r>
      <w:r w:rsidR="00706D8E">
        <w:rPr>
          <w:lang w:val="en-GB"/>
        </w:rPr>
        <w:t>25</w:t>
      </w:r>
      <w:r w:rsidRPr="00154636">
        <w:rPr>
          <w:lang w:val="en-GB"/>
        </w:rPr>
        <w:t xml:space="preserve">/P dated </w:t>
      </w:r>
      <w:r w:rsidR="00706D8E">
        <w:rPr>
          <w:lang w:val="en-GB"/>
        </w:rPr>
        <w:t>5 June 2024</w:t>
      </w:r>
      <w:r w:rsidRPr="00154636">
        <w:rPr>
          <w:lang w:val="en-GB"/>
        </w:rPr>
        <w:t xml:space="preserve"> (point 12.1</w:t>
      </w:r>
      <w:r w:rsidR="00B81F87">
        <w:rPr>
          <w:lang w:val="en-GB"/>
        </w:rPr>
        <w:t>.</w:t>
      </w:r>
      <w:r w:rsidRPr="00154636">
        <w:rPr>
          <w:lang w:val="en-GB"/>
        </w:rPr>
        <w:t>), the proposed levels of multiplier</w:t>
      </w:r>
      <w:r w:rsidR="00987269">
        <w:rPr>
          <w:lang w:val="en-GB"/>
        </w:rPr>
        <w:t>s</w:t>
      </w:r>
      <w:r w:rsidRPr="00154636">
        <w:rPr>
          <w:lang w:val="en-GB"/>
        </w:rPr>
        <w:t xml:space="preserve"> remain unchanged.</w:t>
      </w:r>
    </w:p>
    <w:p w14:paraId="36B3A982" w14:textId="77777777" w:rsidR="00154636" w:rsidRDefault="00154636" w:rsidP="00AC2435">
      <w:pPr>
        <w:jc w:val="both"/>
        <w:rPr>
          <w:lang w:val="en-GB"/>
        </w:rPr>
      </w:pPr>
    </w:p>
    <w:p w14:paraId="68C6AB57" w14:textId="146C8532" w:rsidR="00EE094A" w:rsidRDefault="000162BE" w:rsidP="0016438A">
      <w:pPr>
        <w:pStyle w:val="Odsekzoznamu"/>
        <w:numPr>
          <w:ilvl w:val="0"/>
          <w:numId w:val="17"/>
        </w:numPr>
        <w:jc w:val="both"/>
        <w:rPr>
          <w:b/>
          <w:lang w:val="en-GB"/>
        </w:rPr>
      </w:pPr>
      <w:r w:rsidRPr="000162BE">
        <w:rPr>
          <w:b/>
          <w:lang w:val="en-GB"/>
        </w:rPr>
        <w:t xml:space="preserve">The </w:t>
      </w:r>
      <w:r w:rsidR="00740335">
        <w:rPr>
          <w:b/>
          <w:lang w:val="en-GB"/>
        </w:rPr>
        <w:t xml:space="preserve">proposal </w:t>
      </w:r>
      <w:r w:rsidR="00A01860">
        <w:rPr>
          <w:b/>
          <w:lang w:val="en-GB"/>
        </w:rPr>
        <w:t>o</w:t>
      </w:r>
      <w:r w:rsidR="00740335">
        <w:rPr>
          <w:b/>
          <w:lang w:val="en-GB"/>
        </w:rPr>
        <w:t xml:space="preserve">f the </w:t>
      </w:r>
      <w:r w:rsidR="00A64FAE">
        <w:rPr>
          <w:b/>
          <w:lang w:val="en-GB"/>
        </w:rPr>
        <w:t xml:space="preserve">non-application of the </w:t>
      </w:r>
      <w:r w:rsidRPr="000162BE">
        <w:rPr>
          <w:b/>
          <w:lang w:val="en-GB"/>
        </w:rPr>
        <w:t>seasonal factors</w:t>
      </w:r>
      <w:r w:rsidR="006C2F10">
        <w:rPr>
          <w:b/>
          <w:lang w:val="en-GB"/>
        </w:rPr>
        <w:t xml:space="preserve"> </w:t>
      </w:r>
      <w:r w:rsidR="006C2F10" w:rsidRPr="006C2F10">
        <w:rPr>
          <w:b/>
          <w:lang w:val="en-GB"/>
        </w:rPr>
        <w:t>(</w:t>
      </w:r>
      <w:r w:rsidR="0061236D">
        <w:rPr>
          <w:b/>
          <w:lang w:val="en-GB"/>
        </w:rPr>
        <w:t>pursuant</w:t>
      </w:r>
      <w:r w:rsidR="00920C82">
        <w:rPr>
          <w:b/>
          <w:lang w:val="en-GB"/>
        </w:rPr>
        <w:t xml:space="preserve"> to the </w:t>
      </w:r>
      <w:r w:rsidR="006C2F10" w:rsidRPr="006C2F10">
        <w:rPr>
          <w:b/>
          <w:lang w:val="en-GB"/>
        </w:rPr>
        <w:t>Article 28 (1)(</w:t>
      </w:r>
      <w:r w:rsidR="006C2F10">
        <w:rPr>
          <w:b/>
          <w:lang w:val="en-GB"/>
        </w:rPr>
        <w:t>b</w:t>
      </w:r>
      <w:r w:rsidR="006C2F10" w:rsidRPr="006C2F10">
        <w:rPr>
          <w:b/>
          <w:lang w:val="en-GB"/>
        </w:rPr>
        <w:t>) of the TAR NC)</w:t>
      </w:r>
    </w:p>
    <w:p w14:paraId="28A8078B" w14:textId="77777777" w:rsidR="00EE094A" w:rsidRDefault="00EE094A" w:rsidP="00EE094A">
      <w:pPr>
        <w:rPr>
          <w:b/>
          <w:lang w:val="en-GB"/>
        </w:rPr>
      </w:pPr>
    </w:p>
    <w:p w14:paraId="49D8CAC8" w14:textId="03B11A3B" w:rsidR="00B97BFA" w:rsidRDefault="00EE094A" w:rsidP="00036B49">
      <w:pPr>
        <w:jc w:val="both"/>
        <w:rPr>
          <w:lang w:val="en-GB"/>
        </w:rPr>
      </w:pPr>
      <w:r w:rsidRPr="00EE094A">
        <w:rPr>
          <w:lang w:val="en-GB"/>
        </w:rPr>
        <w:t>The</w:t>
      </w:r>
      <w:r w:rsidR="00740335">
        <w:rPr>
          <w:lang w:val="en-GB"/>
        </w:rPr>
        <w:t xml:space="preserve"> Office proposes</w:t>
      </w:r>
      <w:r w:rsidRPr="00EE094A">
        <w:rPr>
          <w:lang w:val="en-GB"/>
        </w:rPr>
        <w:t xml:space="preserve"> </w:t>
      </w:r>
      <w:r w:rsidR="00740335">
        <w:rPr>
          <w:lang w:val="en-GB"/>
        </w:rPr>
        <w:t xml:space="preserve">the non-application of the </w:t>
      </w:r>
      <w:r w:rsidRPr="00EE094A">
        <w:rPr>
          <w:lang w:val="en-GB"/>
        </w:rPr>
        <w:t xml:space="preserve">seasonal factors </w:t>
      </w:r>
      <w:r w:rsidR="00A32300">
        <w:rPr>
          <w:lang w:val="en-GB"/>
        </w:rPr>
        <w:t>for</w:t>
      </w:r>
      <w:r w:rsidRPr="00EE094A">
        <w:rPr>
          <w:lang w:val="en-GB"/>
        </w:rPr>
        <w:t xml:space="preserve"> access to the transmission </w:t>
      </w:r>
      <w:r w:rsidR="00A32300">
        <w:rPr>
          <w:lang w:val="en-GB"/>
        </w:rPr>
        <w:t>system</w:t>
      </w:r>
      <w:r w:rsidRPr="00EE094A">
        <w:rPr>
          <w:lang w:val="en-GB"/>
        </w:rPr>
        <w:t xml:space="preserve"> and gas transmission</w:t>
      </w:r>
      <w:r w:rsidR="00A01860">
        <w:rPr>
          <w:lang w:val="en-GB"/>
        </w:rPr>
        <w:t xml:space="preserve"> through the Slovak transmission system</w:t>
      </w:r>
      <w:r w:rsidRPr="00EE094A">
        <w:rPr>
          <w:lang w:val="en-GB"/>
        </w:rPr>
        <w:t xml:space="preserve">. </w:t>
      </w:r>
    </w:p>
    <w:p w14:paraId="5F4548F2" w14:textId="77777777" w:rsidR="00B97BFA" w:rsidRDefault="00B97BFA" w:rsidP="00036B49">
      <w:pPr>
        <w:jc w:val="both"/>
        <w:rPr>
          <w:lang w:val="en-GB"/>
        </w:rPr>
      </w:pPr>
    </w:p>
    <w:p w14:paraId="1F99A59E" w14:textId="07B34B82" w:rsidR="00C73782" w:rsidRDefault="00B97BFA" w:rsidP="00036B49">
      <w:pPr>
        <w:jc w:val="both"/>
        <w:rPr>
          <w:lang w:val="en-GB"/>
        </w:rPr>
      </w:pPr>
      <w:r w:rsidRPr="00B97BFA">
        <w:rPr>
          <w:lang w:val="en-GB"/>
        </w:rPr>
        <w:t>For comparison</w:t>
      </w:r>
      <w:r w:rsidR="007706EA">
        <w:rPr>
          <w:lang w:val="en-GB"/>
        </w:rPr>
        <w:t xml:space="preserve"> </w:t>
      </w:r>
      <w:r w:rsidR="007706EA" w:rsidRPr="007706EA">
        <w:rPr>
          <w:lang w:val="en-GB"/>
        </w:rPr>
        <w:t>with the current state</w:t>
      </w:r>
      <w:r w:rsidRPr="00B97BFA">
        <w:rPr>
          <w:lang w:val="en-GB"/>
        </w:rPr>
        <w:t xml:space="preserve">, according to the decision of the Office </w:t>
      </w:r>
      <w:r>
        <w:rPr>
          <w:lang w:val="en-GB"/>
        </w:rPr>
        <w:t>N</w:t>
      </w:r>
      <w:r w:rsidRPr="00B97BFA">
        <w:rPr>
          <w:lang w:val="en-GB"/>
        </w:rPr>
        <w:t>o.</w:t>
      </w:r>
      <w:r w:rsidR="00E04415">
        <w:rPr>
          <w:lang w:val="en-GB"/>
        </w:rPr>
        <w:t> </w:t>
      </w:r>
      <w:r w:rsidRPr="00B97BFA">
        <w:rPr>
          <w:lang w:val="en-GB"/>
        </w:rPr>
        <w:t>000</w:t>
      </w:r>
      <w:r w:rsidR="00A01860">
        <w:rPr>
          <w:lang w:val="en-GB"/>
        </w:rPr>
        <w:t>1</w:t>
      </w:r>
      <w:r w:rsidRPr="00B97BFA">
        <w:rPr>
          <w:lang w:val="en-GB"/>
        </w:rPr>
        <w:t>/20</w:t>
      </w:r>
      <w:r w:rsidR="00A01860">
        <w:rPr>
          <w:lang w:val="en-GB"/>
        </w:rPr>
        <w:t>25</w:t>
      </w:r>
      <w:r w:rsidRPr="00B97BFA">
        <w:rPr>
          <w:lang w:val="en-GB"/>
        </w:rPr>
        <w:t xml:space="preserve">/P dated </w:t>
      </w:r>
      <w:r w:rsidR="00A01860" w:rsidRPr="00A01860">
        <w:rPr>
          <w:lang w:val="en-GB"/>
        </w:rPr>
        <w:t xml:space="preserve">5 June 2024 </w:t>
      </w:r>
      <w:r w:rsidRPr="00B97BFA">
        <w:rPr>
          <w:lang w:val="en-GB"/>
        </w:rPr>
        <w:t>(point 12.2</w:t>
      </w:r>
      <w:r>
        <w:rPr>
          <w:lang w:val="en-GB"/>
        </w:rPr>
        <w:t>.</w:t>
      </w:r>
      <w:r w:rsidRPr="00B97BFA">
        <w:rPr>
          <w:lang w:val="en-GB"/>
        </w:rPr>
        <w:t xml:space="preserve">), seasonal factors for access to the transmission </w:t>
      </w:r>
      <w:r>
        <w:rPr>
          <w:lang w:val="en-GB"/>
        </w:rPr>
        <w:t>system</w:t>
      </w:r>
      <w:r w:rsidRPr="00B97BFA">
        <w:rPr>
          <w:lang w:val="en-GB"/>
        </w:rPr>
        <w:t xml:space="preserve"> and gas trans</w:t>
      </w:r>
      <w:r>
        <w:rPr>
          <w:lang w:val="en-GB"/>
        </w:rPr>
        <w:t>mission</w:t>
      </w:r>
      <w:r w:rsidRPr="00B97BFA">
        <w:rPr>
          <w:lang w:val="en-GB"/>
        </w:rPr>
        <w:t xml:space="preserve"> </w:t>
      </w:r>
      <w:r w:rsidR="00366189">
        <w:rPr>
          <w:lang w:val="en-GB"/>
        </w:rPr>
        <w:t xml:space="preserve">are </w:t>
      </w:r>
      <w:r w:rsidR="00FD1735">
        <w:rPr>
          <w:lang w:val="en-GB"/>
        </w:rPr>
        <w:t xml:space="preserve">currently </w:t>
      </w:r>
      <w:r w:rsidR="00366189">
        <w:rPr>
          <w:lang w:val="en-GB"/>
        </w:rPr>
        <w:t>n</w:t>
      </w:r>
      <w:r w:rsidR="00260B8E">
        <w:rPr>
          <w:lang w:val="en-GB"/>
        </w:rPr>
        <w:t xml:space="preserve">ot </w:t>
      </w:r>
      <w:r w:rsidR="00366189">
        <w:rPr>
          <w:lang w:val="en-GB"/>
        </w:rPr>
        <w:t>applied</w:t>
      </w:r>
      <w:r w:rsidRPr="00B97BFA">
        <w:rPr>
          <w:lang w:val="en-GB"/>
        </w:rPr>
        <w:t>.</w:t>
      </w:r>
    </w:p>
    <w:p w14:paraId="563C7628" w14:textId="1FFA69A8" w:rsidR="00260B8E" w:rsidRPr="00260B8E" w:rsidRDefault="00260B8E" w:rsidP="00036B49">
      <w:pPr>
        <w:jc w:val="both"/>
        <w:rPr>
          <w:lang w:val="en-GB"/>
        </w:rPr>
      </w:pPr>
    </w:p>
    <w:p w14:paraId="3957B62F" w14:textId="7DC1FD09" w:rsidR="000162BE" w:rsidRDefault="006813F6" w:rsidP="001C63C3">
      <w:pPr>
        <w:pStyle w:val="Odsekzoznamu"/>
        <w:numPr>
          <w:ilvl w:val="0"/>
          <w:numId w:val="17"/>
        </w:numPr>
        <w:jc w:val="both"/>
        <w:rPr>
          <w:b/>
          <w:lang w:val="en-GB"/>
        </w:rPr>
      </w:pPr>
      <w:r>
        <w:rPr>
          <w:b/>
          <w:lang w:val="en-GB"/>
        </w:rPr>
        <w:lastRenderedPageBreak/>
        <w:t xml:space="preserve">Proposal </w:t>
      </w:r>
      <w:r w:rsidR="00A01860">
        <w:rPr>
          <w:b/>
          <w:lang w:val="en-GB"/>
        </w:rPr>
        <w:t>o</w:t>
      </w:r>
      <w:r>
        <w:rPr>
          <w:b/>
          <w:lang w:val="en-GB"/>
        </w:rPr>
        <w:t>f t</w:t>
      </w:r>
      <w:r w:rsidR="000162BE" w:rsidRPr="000162BE">
        <w:rPr>
          <w:b/>
          <w:lang w:val="en-GB"/>
        </w:rPr>
        <w:t xml:space="preserve">he </w:t>
      </w:r>
      <w:r w:rsidR="0044660A" w:rsidRPr="0044660A">
        <w:rPr>
          <w:b/>
          <w:lang w:val="en-GB"/>
        </w:rPr>
        <w:t xml:space="preserve">non-application </w:t>
      </w:r>
      <w:r w:rsidR="000162BE" w:rsidRPr="000162BE">
        <w:rPr>
          <w:b/>
          <w:lang w:val="en-GB"/>
        </w:rPr>
        <w:t>of</w:t>
      </w:r>
      <w:r w:rsidR="0044660A">
        <w:rPr>
          <w:b/>
          <w:lang w:val="en-GB"/>
        </w:rPr>
        <w:t xml:space="preserve"> the</w:t>
      </w:r>
      <w:r w:rsidR="000162BE" w:rsidRPr="000162BE">
        <w:rPr>
          <w:b/>
          <w:lang w:val="en-GB"/>
        </w:rPr>
        <w:t xml:space="preserve"> discount</w:t>
      </w:r>
      <w:r w:rsidR="0044660A">
        <w:rPr>
          <w:b/>
          <w:lang w:val="en-GB"/>
        </w:rPr>
        <w:t>s</w:t>
      </w:r>
      <w:r w:rsidR="000162BE" w:rsidRPr="000162BE">
        <w:rPr>
          <w:b/>
          <w:lang w:val="en-GB"/>
        </w:rPr>
        <w:t xml:space="preserve"> at the entry points from LNG facilities </w:t>
      </w:r>
      <w:r w:rsidR="00E11585">
        <w:rPr>
          <w:b/>
          <w:lang w:val="en-GB"/>
        </w:rPr>
        <w:t>nor</w:t>
      </w:r>
      <w:r w:rsidR="0044660A" w:rsidRPr="0044660A">
        <w:rPr>
          <w:b/>
          <w:lang w:val="en-GB"/>
        </w:rPr>
        <w:t xml:space="preserve"> </w:t>
      </w:r>
      <w:r w:rsidR="00476A82">
        <w:rPr>
          <w:b/>
          <w:lang w:val="en-GB"/>
        </w:rPr>
        <w:t xml:space="preserve">at the </w:t>
      </w:r>
      <w:r w:rsidR="0044660A" w:rsidRPr="0044660A">
        <w:rPr>
          <w:b/>
          <w:lang w:val="en-GB"/>
        </w:rPr>
        <w:t xml:space="preserve">entry/exit points from/to </w:t>
      </w:r>
      <w:r w:rsidR="000162BE" w:rsidRPr="000162BE">
        <w:rPr>
          <w:b/>
          <w:lang w:val="en-GB"/>
        </w:rPr>
        <w:t>infrastructure ending isolation</w:t>
      </w:r>
      <w:r>
        <w:rPr>
          <w:b/>
          <w:lang w:val="en-GB"/>
        </w:rPr>
        <w:t xml:space="preserve"> </w:t>
      </w:r>
      <w:r w:rsidR="000E49BA">
        <w:rPr>
          <w:b/>
          <w:lang w:val="en-GB"/>
        </w:rPr>
        <w:t xml:space="preserve">– Article 9(2) of the TAR NC </w:t>
      </w:r>
      <w:r w:rsidRPr="006813F6">
        <w:rPr>
          <w:b/>
          <w:lang w:val="en-GB"/>
        </w:rPr>
        <w:t>(</w:t>
      </w:r>
      <w:r w:rsidR="0061236D">
        <w:rPr>
          <w:b/>
          <w:lang w:val="en-GB"/>
        </w:rPr>
        <w:t>pursuant</w:t>
      </w:r>
      <w:r w:rsidRPr="006813F6">
        <w:rPr>
          <w:b/>
          <w:lang w:val="en-GB"/>
        </w:rPr>
        <w:t xml:space="preserve"> to the Article 28 (1)(</w:t>
      </w:r>
      <w:r>
        <w:rPr>
          <w:b/>
          <w:lang w:val="en-GB"/>
        </w:rPr>
        <w:t>c</w:t>
      </w:r>
      <w:r w:rsidRPr="006813F6">
        <w:rPr>
          <w:b/>
          <w:lang w:val="en-GB"/>
        </w:rPr>
        <w:t>) of the TAR NC)</w:t>
      </w:r>
    </w:p>
    <w:p w14:paraId="74F4EFE1" w14:textId="77777777" w:rsidR="0001368B" w:rsidRDefault="0001368B" w:rsidP="0001368B">
      <w:pPr>
        <w:rPr>
          <w:b/>
          <w:lang w:val="en-GB"/>
        </w:rPr>
      </w:pPr>
    </w:p>
    <w:p w14:paraId="73A37D87" w14:textId="16153CEE" w:rsidR="00C73782" w:rsidRDefault="00E11585" w:rsidP="001B02D4">
      <w:pPr>
        <w:jc w:val="both"/>
        <w:rPr>
          <w:lang w:val="en-GB"/>
        </w:rPr>
      </w:pPr>
      <w:r>
        <w:rPr>
          <w:lang w:val="en-GB"/>
        </w:rPr>
        <w:t>The Office proposes non</w:t>
      </w:r>
      <w:r w:rsidR="00BC77ED">
        <w:rPr>
          <w:lang w:val="en-GB"/>
        </w:rPr>
        <w:t>-</w:t>
      </w:r>
      <w:r>
        <w:rPr>
          <w:lang w:val="en-GB"/>
        </w:rPr>
        <w:t>application of the</w:t>
      </w:r>
      <w:r w:rsidR="005F39D7" w:rsidRPr="005F39D7">
        <w:rPr>
          <w:lang w:val="en-GB"/>
        </w:rPr>
        <w:t xml:space="preserve"> discount</w:t>
      </w:r>
      <w:r w:rsidR="00E04415">
        <w:rPr>
          <w:lang w:val="en-GB"/>
        </w:rPr>
        <w:t>s</w:t>
      </w:r>
      <w:r w:rsidR="005F39D7" w:rsidRPr="005F39D7">
        <w:rPr>
          <w:lang w:val="en-GB"/>
        </w:rPr>
        <w:t xml:space="preserve"> at the entry points</w:t>
      </w:r>
      <w:r w:rsidR="00843A97">
        <w:rPr>
          <w:lang w:val="en-GB"/>
        </w:rPr>
        <w:t xml:space="preserve"> from LNG facilities</w:t>
      </w:r>
      <w:r w:rsidR="005F39D7" w:rsidRPr="005F39D7">
        <w:rPr>
          <w:lang w:val="en-GB"/>
        </w:rPr>
        <w:t xml:space="preserve"> </w:t>
      </w:r>
      <w:r w:rsidR="00E04415" w:rsidRPr="00E04415">
        <w:rPr>
          <w:lang w:val="en-GB"/>
        </w:rPr>
        <w:t xml:space="preserve">and </w:t>
      </w:r>
      <w:r w:rsidR="00E04415">
        <w:rPr>
          <w:lang w:val="en-GB"/>
        </w:rPr>
        <w:t>also</w:t>
      </w:r>
      <w:r w:rsidR="00E04415" w:rsidRPr="00E04415">
        <w:rPr>
          <w:lang w:val="en-GB"/>
        </w:rPr>
        <w:t xml:space="preserve"> non-application</w:t>
      </w:r>
      <w:r w:rsidR="00476A82">
        <w:rPr>
          <w:lang w:val="en-GB"/>
        </w:rPr>
        <w:t xml:space="preserve"> </w:t>
      </w:r>
      <w:r w:rsidR="00E04415" w:rsidRPr="00E04415">
        <w:rPr>
          <w:lang w:val="en-GB"/>
        </w:rPr>
        <w:t xml:space="preserve">of the discounts </w:t>
      </w:r>
      <w:r w:rsidR="00843A97">
        <w:rPr>
          <w:lang w:val="en-GB"/>
        </w:rPr>
        <w:t xml:space="preserve">at entry points </w:t>
      </w:r>
      <w:r w:rsidR="00CC55EC">
        <w:rPr>
          <w:lang w:val="en-GB"/>
        </w:rPr>
        <w:t xml:space="preserve">from </w:t>
      </w:r>
      <w:r w:rsidR="00843A97">
        <w:rPr>
          <w:lang w:val="en-GB"/>
        </w:rPr>
        <w:t xml:space="preserve">and </w:t>
      </w:r>
      <w:r w:rsidR="005F39D7" w:rsidRPr="005F39D7">
        <w:rPr>
          <w:lang w:val="en-GB"/>
        </w:rPr>
        <w:t xml:space="preserve">exit points </w:t>
      </w:r>
      <w:r w:rsidR="00843A97">
        <w:rPr>
          <w:lang w:val="en-GB"/>
        </w:rPr>
        <w:t>to</w:t>
      </w:r>
      <w:r w:rsidR="009467D2">
        <w:rPr>
          <w:lang w:val="en-GB"/>
        </w:rPr>
        <w:t xml:space="preserve"> the</w:t>
      </w:r>
      <w:r w:rsidR="005F39D7" w:rsidRPr="005F39D7">
        <w:rPr>
          <w:lang w:val="en-GB"/>
        </w:rPr>
        <w:t xml:space="preserve"> infrastructure</w:t>
      </w:r>
      <w:r w:rsidR="00843A97">
        <w:rPr>
          <w:lang w:val="en-GB"/>
        </w:rPr>
        <w:t xml:space="preserve"> developed with the purpose of</w:t>
      </w:r>
      <w:r w:rsidR="005F39D7" w:rsidRPr="005F39D7">
        <w:rPr>
          <w:lang w:val="en-GB"/>
        </w:rPr>
        <w:t xml:space="preserve"> ending isolation</w:t>
      </w:r>
      <w:r w:rsidR="007A7801">
        <w:rPr>
          <w:lang w:val="en-GB"/>
        </w:rPr>
        <w:t xml:space="preserve"> of Member States</w:t>
      </w:r>
      <w:r w:rsidR="005F39D7">
        <w:rPr>
          <w:lang w:val="en-GB"/>
        </w:rPr>
        <w:t xml:space="preserve"> </w:t>
      </w:r>
      <w:r w:rsidR="00982946">
        <w:rPr>
          <w:lang w:val="en-GB"/>
        </w:rPr>
        <w:t>as</w:t>
      </w:r>
      <w:r w:rsidR="00A95D1C" w:rsidRPr="00A95D1C">
        <w:rPr>
          <w:lang w:val="en-GB"/>
        </w:rPr>
        <w:t xml:space="preserve"> there are no LNG facilities neither infrastructure ending isolation in the Slovak Republic.</w:t>
      </w:r>
      <w:r w:rsidR="00667AA5">
        <w:rPr>
          <w:lang w:val="en-GB"/>
        </w:rPr>
        <w:t xml:space="preserve"> </w:t>
      </w:r>
    </w:p>
    <w:p w14:paraId="6213885F" w14:textId="50347445" w:rsidR="00667AA5" w:rsidRDefault="00667AA5" w:rsidP="001B02D4">
      <w:pPr>
        <w:jc w:val="both"/>
        <w:rPr>
          <w:lang w:val="en-GB"/>
        </w:rPr>
      </w:pPr>
    </w:p>
    <w:p w14:paraId="075D4FD0" w14:textId="144EB4CF" w:rsidR="00366189" w:rsidRDefault="00366189" w:rsidP="001B02D4">
      <w:pPr>
        <w:jc w:val="both"/>
        <w:rPr>
          <w:lang w:val="en-GB"/>
        </w:rPr>
      </w:pPr>
      <w:r w:rsidRPr="00366189">
        <w:rPr>
          <w:lang w:val="en-GB"/>
        </w:rPr>
        <w:t>For comparison</w:t>
      </w:r>
      <w:r w:rsidR="007706EA">
        <w:rPr>
          <w:lang w:val="en-GB"/>
        </w:rPr>
        <w:t xml:space="preserve"> </w:t>
      </w:r>
      <w:r w:rsidR="007706EA" w:rsidRPr="007706EA">
        <w:rPr>
          <w:lang w:val="en-GB"/>
        </w:rPr>
        <w:t>with the current state</w:t>
      </w:r>
      <w:r w:rsidRPr="00366189">
        <w:rPr>
          <w:lang w:val="en-GB"/>
        </w:rPr>
        <w:t xml:space="preserve">, according to the decision of the Office </w:t>
      </w:r>
      <w:r>
        <w:rPr>
          <w:lang w:val="en-GB"/>
        </w:rPr>
        <w:t>N</w:t>
      </w:r>
      <w:r w:rsidRPr="00366189">
        <w:rPr>
          <w:lang w:val="en-GB"/>
        </w:rPr>
        <w:t>o.</w:t>
      </w:r>
      <w:r w:rsidR="00F97907">
        <w:rPr>
          <w:lang w:val="en-GB"/>
        </w:rPr>
        <w:t> </w:t>
      </w:r>
      <w:r w:rsidR="00B5711C" w:rsidRPr="00B5711C">
        <w:rPr>
          <w:lang w:val="en-GB"/>
        </w:rPr>
        <w:t xml:space="preserve">0001/2025/P </w:t>
      </w:r>
      <w:r w:rsidR="00B5711C">
        <w:rPr>
          <w:lang w:val="en-GB"/>
        </w:rPr>
        <w:t>dated</w:t>
      </w:r>
      <w:r w:rsidR="00B5711C" w:rsidRPr="00B5711C">
        <w:rPr>
          <w:lang w:val="en-GB"/>
        </w:rPr>
        <w:t xml:space="preserve"> 5</w:t>
      </w:r>
      <w:r w:rsidR="00B5711C">
        <w:rPr>
          <w:lang w:val="en-GB"/>
        </w:rPr>
        <w:t xml:space="preserve"> June</w:t>
      </w:r>
      <w:r w:rsidR="00B5711C" w:rsidRPr="00B5711C">
        <w:rPr>
          <w:lang w:val="en-GB"/>
        </w:rPr>
        <w:t xml:space="preserve"> 2024 </w:t>
      </w:r>
      <w:r w:rsidRPr="00366189">
        <w:rPr>
          <w:lang w:val="en-GB"/>
        </w:rPr>
        <w:t>(point 12.3</w:t>
      </w:r>
      <w:r>
        <w:rPr>
          <w:lang w:val="en-GB"/>
        </w:rPr>
        <w:t>.</w:t>
      </w:r>
      <w:r w:rsidRPr="00366189">
        <w:rPr>
          <w:lang w:val="en-GB"/>
        </w:rPr>
        <w:t xml:space="preserve">), discounts on entry points from LNG facilities or discounts on entry/exit points from/to infrastructure </w:t>
      </w:r>
      <w:r w:rsidR="00CC55EC">
        <w:rPr>
          <w:lang w:val="en-GB"/>
        </w:rPr>
        <w:t>developed</w:t>
      </w:r>
      <w:r w:rsidRPr="00366189">
        <w:rPr>
          <w:lang w:val="en-GB"/>
        </w:rPr>
        <w:t xml:space="preserve"> with the </w:t>
      </w:r>
      <w:r>
        <w:rPr>
          <w:lang w:val="en-GB"/>
        </w:rPr>
        <w:t>aim of ending the isolation of Member S</w:t>
      </w:r>
      <w:r w:rsidRPr="00366189">
        <w:rPr>
          <w:lang w:val="en-GB"/>
        </w:rPr>
        <w:t>tates are not currently applied.</w:t>
      </w:r>
    </w:p>
    <w:p w14:paraId="226386BF" w14:textId="77777777" w:rsidR="00667AA5" w:rsidRPr="00C73782" w:rsidRDefault="00667AA5" w:rsidP="001B02D4">
      <w:pPr>
        <w:jc w:val="both"/>
        <w:rPr>
          <w:b/>
          <w:lang w:val="en-GB"/>
        </w:rPr>
      </w:pPr>
    </w:p>
    <w:p w14:paraId="5F3505E2" w14:textId="053A7342" w:rsidR="000162BE" w:rsidRPr="000162BE" w:rsidRDefault="006813F6" w:rsidP="001C63C3">
      <w:pPr>
        <w:pStyle w:val="Odsekzoznamu"/>
        <w:numPr>
          <w:ilvl w:val="0"/>
          <w:numId w:val="17"/>
        </w:numPr>
        <w:jc w:val="both"/>
        <w:rPr>
          <w:b/>
          <w:lang w:val="en-GB"/>
        </w:rPr>
      </w:pPr>
      <w:r>
        <w:rPr>
          <w:b/>
          <w:lang w:val="en-GB"/>
        </w:rPr>
        <w:t xml:space="preserve">Proposal </w:t>
      </w:r>
      <w:r w:rsidR="00A00191">
        <w:rPr>
          <w:b/>
          <w:lang w:val="en-GB"/>
        </w:rPr>
        <w:t>o</w:t>
      </w:r>
      <w:r>
        <w:rPr>
          <w:b/>
          <w:lang w:val="en-GB"/>
        </w:rPr>
        <w:t>f t</w:t>
      </w:r>
      <w:r w:rsidR="000162BE" w:rsidRPr="000162BE">
        <w:rPr>
          <w:b/>
          <w:lang w:val="en-GB"/>
        </w:rPr>
        <w:t>he level of discount for the reserve prices for standard capacity products for interruptible capacity</w:t>
      </w:r>
      <w:r>
        <w:rPr>
          <w:b/>
          <w:lang w:val="en-GB"/>
        </w:rPr>
        <w:t xml:space="preserve"> </w:t>
      </w:r>
      <w:r w:rsidR="00EB03EB">
        <w:rPr>
          <w:b/>
          <w:lang w:val="en-GB"/>
        </w:rPr>
        <w:t xml:space="preserve">– Article 16 of the TAR NC </w:t>
      </w:r>
      <w:r w:rsidRPr="006813F6">
        <w:rPr>
          <w:b/>
          <w:lang w:val="en-GB"/>
        </w:rPr>
        <w:t>(</w:t>
      </w:r>
      <w:r w:rsidR="0061236D">
        <w:rPr>
          <w:b/>
          <w:lang w:val="en-GB"/>
        </w:rPr>
        <w:t>pursuant</w:t>
      </w:r>
      <w:r w:rsidRPr="006813F6">
        <w:rPr>
          <w:b/>
          <w:lang w:val="en-GB"/>
        </w:rPr>
        <w:t xml:space="preserve"> to the Article 28 (1)(</w:t>
      </w:r>
      <w:r>
        <w:rPr>
          <w:b/>
          <w:lang w:val="en-GB"/>
        </w:rPr>
        <w:t>c</w:t>
      </w:r>
      <w:r w:rsidRPr="006813F6">
        <w:rPr>
          <w:b/>
          <w:lang w:val="en-GB"/>
        </w:rPr>
        <w:t>) of the TAR NC)</w:t>
      </w:r>
    </w:p>
    <w:p w14:paraId="102F874C" w14:textId="77777777" w:rsidR="000162BE" w:rsidRPr="00C44E7C" w:rsidRDefault="000162BE" w:rsidP="000162BE">
      <w:pPr>
        <w:pStyle w:val="Odsekzoznamu"/>
        <w:jc w:val="both"/>
        <w:rPr>
          <w:b/>
          <w:i/>
          <w:lang w:val="en-GB"/>
        </w:rPr>
      </w:pPr>
    </w:p>
    <w:p w14:paraId="0A661A12" w14:textId="70EEB372" w:rsidR="00A571C8" w:rsidRPr="00871016" w:rsidRDefault="00A571C8" w:rsidP="00A571C8">
      <w:pPr>
        <w:jc w:val="both"/>
        <w:rPr>
          <w:lang w:val="en-GB"/>
        </w:rPr>
      </w:pPr>
      <w:r w:rsidRPr="00871016">
        <w:rPr>
          <w:lang w:val="en-GB"/>
        </w:rPr>
        <w:t>The</w:t>
      </w:r>
      <w:r w:rsidR="00F24952">
        <w:rPr>
          <w:lang w:val="en-GB"/>
        </w:rPr>
        <w:t xml:space="preserve"> Office proposes</w:t>
      </w:r>
      <w:r w:rsidRPr="00871016">
        <w:rPr>
          <w:lang w:val="en-GB"/>
        </w:rPr>
        <w:t xml:space="preserve"> </w:t>
      </w:r>
      <w:r w:rsidR="00E60937">
        <w:rPr>
          <w:lang w:val="en-GB"/>
        </w:rPr>
        <w:t xml:space="preserve">to apply </w:t>
      </w:r>
      <w:r w:rsidR="00934054">
        <w:rPr>
          <w:lang w:val="en-GB"/>
        </w:rPr>
        <w:t xml:space="preserve">an </w:t>
      </w:r>
      <w:r w:rsidRPr="00871016">
        <w:rPr>
          <w:lang w:val="en-GB"/>
        </w:rPr>
        <w:t>ex-</w:t>
      </w:r>
      <w:r>
        <w:rPr>
          <w:lang w:val="en-GB"/>
        </w:rPr>
        <w:t>ante</w:t>
      </w:r>
      <w:r w:rsidRPr="00871016">
        <w:rPr>
          <w:lang w:val="en-GB"/>
        </w:rPr>
        <w:t xml:space="preserve"> </w:t>
      </w:r>
      <w:r w:rsidR="00681581" w:rsidRPr="00871016">
        <w:rPr>
          <w:lang w:val="en-GB"/>
        </w:rPr>
        <w:t xml:space="preserve">principle </w:t>
      </w:r>
      <w:r w:rsidR="00681581">
        <w:rPr>
          <w:lang w:val="en-GB"/>
        </w:rPr>
        <w:t xml:space="preserve">for the </w:t>
      </w:r>
      <w:r w:rsidRPr="00871016">
        <w:rPr>
          <w:lang w:val="en-GB"/>
        </w:rPr>
        <w:t xml:space="preserve">calculation </w:t>
      </w:r>
      <w:r w:rsidR="00681581">
        <w:rPr>
          <w:lang w:val="en-GB"/>
        </w:rPr>
        <w:t xml:space="preserve">of the discount </w:t>
      </w:r>
      <w:r w:rsidRPr="00871016">
        <w:rPr>
          <w:lang w:val="en-GB"/>
        </w:rPr>
        <w:t xml:space="preserve">for </w:t>
      </w:r>
      <w:r w:rsidR="00EA540B">
        <w:rPr>
          <w:lang w:val="en-GB"/>
        </w:rPr>
        <w:t xml:space="preserve">the reserve prices for </w:t>
      </w:r>
      <w:r w:rsidRPr="00A571C8">
        <w:rPr>
          <w:lang w:val="en-GB"/>
        </w:rPr>
        <w:t>standard capacity products for interruptible capacity</w:t>
      </w:r>
      <w:r>
        <w:rPr>
          <w:lang w:val="en-GB"/>
        </w:rPr>
        <w:t>.</w:t>
      </w:r>
    </w:p>
    <w:p w14:paraId="0A02E581" w14:textId="77777777" w:rsidR="00A571C8" w:rsidRPr="00F64147" w:rsidRDefault="00A571C8" w:rsidP="00A571C8">
      <w:pPr>
        <w:jc w:val="both"/>
        <w:rPr>
          <w:lang w:val="en-GB"/>
        </w:rPr>
      </w:pPr>
    </w:p>
    <w:p w14:paraId="2C2B4BD9" w14:textId="72885A26" w:rsidR="00871016" w:rsidRDefault="00871016" w:rsidP="00871016">
      <w:pPr>
        <w:jc w:val="both"/>
        <w:rPr>
          <w:lang w:val="en-GB"/>
        </w:rPr>
      </w:pPr>
      <w:r w:rsidRPr="00871016">
        <w:rPr>
          <w:lang w:val="en-GB"/>
        </w:rPr>
        <w:t xml:space="preserve">The reserve prices for standard capacity products for interruptible capacity </w:t>
      </w:r>
      <w:r>
        <w:rPr>
          <w:lang w:val="en-GB"/>
        </w:rPr>
        <w:t xml:space="preserve">are proposed to </w:t>
      </w:r>
      <w:r w:rsidRPr="00871016">
        <w:rPr>
          <w:lang w:val="en-GB"/>
        </w:rPr>
        <w:t xml:space="preserve">be calculated by multiplying the reserve prices for the respective standard capacity products for firm capacity calculated in </w:t>
      </w:r>
      <w:r w:rsidR="007461DF">
        <w:rPr>
          <w:lang w:val="en-GB"/>
        </w:rPr>
        <w:t xml:space="preserve">line with </w:t>
      </w:r>
      <w:r w:rsidRPr="00871016">
        <w:rPr>
          <w:lang w:val="en-GB"/>
        </w:rPr>
        <w:t>Article 14</w:t>
      </w:r>
      <w:r w:rsidR="005C6028">
        <w:rPr>
          <w:lang w:val="en-GB"/>
        </w:rPr>
        <w:t xml:space="preserve"> of the TAR NC</w:t>
      </w:r>
      <w:r w:rsidR="00A22C25" w:rsidRPr="00105FAF">
        <w:rPr>
          <w:lang w:val="en-GB"/>
        </w:rPr>
        <w:t xml:space="preserve">, </w:t>
      </w:r>
      <w:r w:rsidR="00105FAF" w:rsidRPr="00105FAF">
        <w:rPr>
          <w:lang w:val="en-GB"/>
        </w:rPr>
        <w:t>and</w:t>
      </w:r>
      <w:r w:rsidR="00A22C25" w:rsidRPr="00105FAF">
        <w:rPr>
          <w:lang w:val="en-GB"/>
        </w:rPr>
        <w:t xml:space="preserve"> the</w:t>
      </w:r>
      <w:r w:rsidR="00A22C25">
        <w:rPr>
          <w:lang w:val="en-GB"/>
        </w:rPr>
        <w:t xml:space="preserve"> difference between 100</w:t>
      </w:r>
      <w:r w:rsidRPr="00871016">
        <w:rPr>
          <w:lang w:val="en-GB"/>
        </w:rPr>
        <w:t>% and the level of an ex-ante discount.</w:t>
      </w:r>
    </w:p>
    <w:p w14:paraId="14099056" w14:textId="77777777" w:rsidR="006A1B07" w:rsidRDefault="006A1B07" w:rsidP="00871016">
      <w:pPr>
        <w:jc w:val="both"/>
        <w:rPr>
          <w:lang w:val="en-GB"/>
        </w:rPr>
      </w:pPr>
    </w:p>
    <w:p w14:paraId="4DF2F82D" w14:textId="0CBDAECB" w:rsidR="006A1B07" w:rsidRDefault="006A1B07" w:rsidP="00871016">
      <w:pPr>
        <w:jc w:val="both"/>
        <w:rPr>
          <w:lang w:val="en-GB"/>
        </w:rPr>
      </w:pPr>
      <w:r>
        <w:rPr>
          <w:lang w:val="en-GB"/>
        </w:rPr>
        <w:t xml:space="preserve">The </w:t>
      </w:r>
      <w:r w:rsidRPr="00871016">
        <w:rPr>
          <w:lang w:val="en-GB"/>
        </w:rPr>
        <w:t>ex-ante discount</w:t>
      </w:r>
      <w:r w:rsidR="00F45887">
        <w:rPr>
          <w:lang w:val="en-GB"/>
        </w:rPr>
        <w:t xml:space="preserve"> is proposed to be calculated </w:t>
      </w:r>
      <w:r w:rsidR="00105FAF">
        <w:rPr>
          <w:lang w:val="en-GB"/>
        </w:rPr>
        <w:t>according to</w:t>
      </w:r>
      <w:r w:rsidR="00F45887">
        <w:rPr>
          <w:lang w:val="en-GB"/>
        </w:rPr>
        <w:t xml:space="preserve"> the following formula:</w:t>
      </w:r>
    </w:p>
    <w:p w14:paraId="7D27B461" w14:textId="77777777" w:rsidR="00F45887" w:rsidRDefault="00F45887" w:rsidP="00871016">
      <w:pPr>
        <w:jc w:val="both"/>
        <w:rPr>
          <w:lang w:val="en-GB"/>
        </w:rPr>
      </w:pPr>
    </w:p>
    <w:p w14:paraId="773FEBDD" w14:textId="77777777" w:rsidR="00632D72" w:rsidRPr="00851AF0" w:rsidRDefault="00A13677" w:rsidP="00871016">
      <w:pPr>
        <w:jc w:val="both"/>
        <w:rPr>
          <w:lang w:val="en-GB"/>
        </w:rPr>
      </w:pPr>
      <m:oMathPara>
        <m:oMathParaPr>
          <m:jc m:val="left"/>
        </m:oMathParaPr>
        <m:oMath>
          <m:sSub>
            <m:sSubPr>
              <m:ctrlPr>
                <w:rPr>
                  <w:rFonts w:ascii="Cambria Math" w:hAnsi="Cambria Math"/>
                  <w:i/>
                  <w:lang w:val="en-GB"/>
                </w:rPr>
              </m:ctrlPr>
            </m:sSubPr>
            <m:e>
              <m:r>
                <m:rPr>
                  <m:nor/>
                </m:rPr>
                <w:rPr>
                  <w:lang w:val="en-GB"/>
                </w:rPr>
                <m:t>Di</m:t>
              </m:r>
            </m:e>
            <m:sub>
              <m:r>
                <m:rPr>
                  <m:nor/>
                </m:rPr>
                <w:rPr>
                  <w:lang w:val="en-GB"/>
                </w:rPr>
                <m:t>ex-ante</m:t>
              </m:r>
            </m:sub>
          </m:sSub>
          <m:r>
            <m:rPr>
              <m:nor/>
            </m:rPr>
            <w:rPr>
              <w:lang w:val="en-GB"/>
            </w:rPr>
            <m:t xml:space="preserve"> = Pro × A × 100 %</m:t>
          </m:r>
        </m:oMath>
      </m:oMathPara>
    </w:p>
    <w:p w14:paraId="6A487C96" w14:textId="77777777" w:rsidR="009E6378" w:rsidRDefault="009E6378" w:rsidP="00871016">
      <w:pPr>
        <w:jc w:val="both"/>
        <w:rPr>
          <w:lang w:val="en-GB"/>
        </w:rPr>
      </w:pPr>
    </w:p>
    <w:p w14:paraId="79E077B5" w14:textId="77777777" w:rsidR="00E418CA" w:rsidRDefault="00E418CA" w:rsidP="00871016">
      <w:pPr>
        <w:jc w:val="both"/>
        <w:rPr>
          <w:lang w:val="en-GB"/>
        </w:rPr>
      </w:pPr>
    </w:p>
    <w:p w14:paraId="335D4634" w14:textId="77777777" w:rsidR="009E6378" w:rsidRDefault="009E6378" w:rsidP="00871016">
      <w:pPr>
        <w:jc w:val="both"/>
        <w:rPr>
          <w:lang w:val="en-GB"/>
        </w:rPr>
      </w:pPr>
      <w:r w:rsidRPr="009E6378">
        <w:rPr>
          <w:lang w:val="en-GB"/>
        </w:rPr>
        <w:t xml:space="preserve">Where: </w:t>
      </w:r>
    </w:p>
    <w:p w14:paraId="1C5AFEA7" w14:textId="77777777" w:rsidR="009E6378" w:rsidRDefault="009E6378" w:rsidP="00871016">
      <w:pPr>
        <w:jc w:val="both"/>
        <w:rPr>
          <w:lang w:val="en-GB"/>
        </w:rPr>
      </w:pPr>
    </w:p>
    <w:p w14:paraId="69E80443" w14:textId="158C2501" w:rsidR="009E6378" w:rsidRDefault="009E6378" w:rsidP="00871016">
      <w:pPr>
        <w:jc w:val="both"/>
        <w:rPr>
          <w:lang w:val="en-GB"/>
        </w:rPr>
      </w:pPr>
      <w:proofErr w:type="spellStart"/>
      <w:r w:rsidRPr="009E6378">
        <w:rPr>
          <w:lang w:val="en-GB"/>
        </w:rPr>
        <w:t>Di</w:t>
      </w:r>
      <w:r w:rsidRPr="009E6378">
        <w:rPr>
          <w:vertAlign w:val="subscript"/>
          <w:lang w:val="en-GB"/>
        </w:rPr>
        <w:t>ex</w:t>
      </w:r>
      <w:proofErr w:type="spellEnd"/>
      <w:r w:rsidRPr="009E6378">
        <w:rPr>
          <w:vertAlign w:val="subscript"/>
          <w:lang w:val="en-GB"/>
        </w:rPr>
        <w:t xml:space="preserve">-ante </w:t>
      </w:r>
      <w:r w:rsidRPr="009E6378">
        <w:rPr>
          <w:lang w:val="en-GB"/>
        </w:rPr>
        <w:t>is t</w:t>
      </w:r>
      <w:r w:rsidR="00EE148A">
        <w:rPr>
          <w:lang w:val="en-GB"/>
        </w:rPr>
        <w:t>he level of an ex-ante discount,</w:t>
      </w:r>
      <w:r w:rsidRPr="009E6378">
        <w:rPr>
          <w:lang w:val="en-GB"/>
        </w:rPr>
        <w:t xml:space="preserve"> </w:t>
      </w:r>
    </w:p>
    <w:p w14:paraId="04F87601" w14:textId="77777777" w:rsidR="009E6378" w:rsidRDefault="009E6378" w:rsidP="00871016">
      <w:pPr>
        <w:jc w:val="both"/>
        <w:rPr>
          <w:lang w:val="en-GB"/>
        </w:rPr>
      </w:pPr>
    </w:p>
    <w:p w14:paraId="4AD3BAE9" w14:textId="1CA51B29" w:rsidR="009E6378" w:rsidRDefault="009E6378" w:rsidP="00871016">
      <w:pPr>
        <w:jc w:val="both"/>
        <w:rPr>
          <w:lang w:val="en-GB"/>
        </w:rPr>
      </w:pPr>
      <w:r w:rsidRPr="009E6378">
        <w:rPr>
          <w:lang w:val="en-GB"/>
        </w:rPr>
        <w:t>Pro is</w:t>
      </w:r>
      <w:r w:rsidR="00D00F53" w:rsidRPr="00D00F53">
        <w:rPr>
          <w:lang w:val="en-GB"/>
        </w:rPr>
        <w:t xml:space="preserve"> the factor, which </w:t>
      </w:r>
      <w:r w:rsidR="00D00F53">
        <w:rPr>
          <w:lang w:val="en-GB"/>
        </w:rPr>
        <w:t xml:space="preserve">represents </w:t>
      </w:r>
      <w:r w:rsidRPr="009E6378">
        <w:rPr>
          <w:lang w:val="en-GB"/>
        </w:rPr>
        <w:t>the probability of interruption, and which refers to the type of standard capacity pro</w:t>
      </w:r>
      <w:r w:rsidR="00EE148A">
        <w:rPr>
          <w:lang w:val="en-GB"/>
        </w:rPr>
        <w:t>duct for interruptible capacity,</w:t>
      </w:r>
      <w:r w:rsidRPr="009E6378">
        <w:rPr>
          <w:lang w:val="en-GB"/>
        </w:rPr>
        <w:t xml:space="preserve"> </w:t>
      </w:r>
    </w:p>
    <w:p w14:paraId="37B65F7A" w14:textId="77777777" w:rsidR="009E6378" w:rsidRDefault="009E6378" w:rsidP="00871016">
      <w:pPr>
        <w:jc w:val="both"/>
        <w:rPr>
          <w:lang w:val="en-GB"/>
        </w:rPr>
      </w:pPr>
    </w:p>
    <w:p w14:paraId="6A799533" w14:textId="77777777" w:rsidR="00F45887" w:rsidRDefault="009E6378" w:rsidP="00871016">
      <w:pPr>
        <w:jc w:val="both"/>
        <w:rPr>
          <w:lang w:val="en-GB"/>
        </w:rPr>
      </w:pPr>
      <w:r w:rsidRPr="009E6378">
        <w:rPr>
          <w:lang w:val="en-GB"/>
        </w:rPr>
        <w:t>A is the adjustment factor</w:t>
      </w:r>
      <w:r w:rsidR="00C46E08">
        <w:rPr>
          <w:lang w:val="en-GB"/>
        </w:rPr>
        <w:t xml:space="preserve"> </w:t>
      </w:r>
      <w:r w:rsidRPr="009E6378">
        <w:rPr>
          <w:lang w:val="en-GB"/>
        </w:rPr>
        <w:t xml:space="preserve">applied to reflect the estimated economic value of the type of standard capacity product for interruptible capacity, calculated for </w:t>
      </w:r>
      <w:r w:rsidR="0013039A">
        <w:rPr>
          <w:lang w:val="en-GB"/>
        </w:rPr>
        <w:t>all EU</w:t>
      </w:r>
      <w:r w:rsidRPr="009E6378">
        <w:rPr>
          <w:lang w:val="en-GB"/>
        </w:rPr>
        <w:t xml:space="preserve"> interconnection points, which shall be no less than 1.</w:t>
      </w:r>
    </w:p>
    <w:p w14:paraId="555DA31D" w14:textId="77777777" w:rsidR="00871016" w:rsidRDefault="00871016" w:rsidP="00871016">
      <w:pPr>
        <w:jc w:val="both"/>
        <w:rPr>
          <w:lang w:val="en-GB"/>
        </w:rPr>
      </w:pPr>
    </w:p>
    <w:p w14:paraId="0447645C" w14:textId="77777777" w:rsidR="005B6B84" w:rsidRDefault="005B6B84" w:rsidP="00F64147">
      <w:pPr>
        <w:jc w:val="both"/>
        <w:rPr>
          <w:lang w:val="en-GB"/>
        </w:rPr>
      </w:pPr>
      <w:r>
        <w:rPr>
          <w:lang w:val="en-GB"/>
        </w:rPr>
        <w:t>The Pro factor is proposed to</w:t>
      </w:r>
      <w:r w:rsidRPr="005B6B84">
        <w:rPr>
          <w:lang w:val="en-GB"/>
        </w:rPr>
        <w:t xml:space="preserve"> be calculated for </w:t>
      </w:r>
      <w:r w:rsidR="0013039A">
        <w:rPr>
          <w:lang w:val="en-GB"/>
        </w:rPr>
        <w:t>all</w:t>
      </w:r>
      <w:r>
        <w:rPr>
          <w:lang w:val="en-GB"/>
        </w:rPr>
        <w:t xml:space="preserve"> EU</w:t>
      </w:r>
      <w:r w:rsidRPr="005B6B84">
        <w:rPr>
          <w:lang w:val="en-GB"/>
        </w:rPr>
        <w:t xml:space="preserve"> interconnection points per type of standard capacity product for interruptible capacity offered in accordance with the following formula on the basis of forecasted information related to the components of this formula: </w:t>
      </w:r>
    </w:p>
    <w:p w14:paraId="41E1C236" w14:textId="77777777" w:rsidR="005B6B84" w:rsidRDefault="005B6B84" w:rsidP="00F64147">
      <w:pPr>
        <w:jc w:val="both"/>
        <w:rPr>
          <w:lang w:val="en-GB"/>
        </w:rPr>
      </w:pPr>
    </w:p>
    <w:p w14:paraId="330C4CE4" w14:textId="77777777" w:rsidR="001B7D51" w:rsidRPr="00A95083" w:rsidRDefault="001B7D51" w:rsidP="00F64147">
      <w:pPr>
        <w:jc w:val="both"/>
        <w:rPr>
          <w:lang w:val="en-GB"/>
        </w:rPr>
      </w:pPr>
      <m:oMathPara>
        <m:oMathParaPr>
          <m:jc m:val="left"/>
        </m:oMathParaPr>
        <m:oMath>
          <m:r>
            <m:rPr>
              <m:nor/>
            </m:rPr>
            <w:rPr>
              <w:lang w:val="en-GB"/>
            </w:rPr>
            <m:t xml:space="preserve">Pro = </m:t>
          </m:r>
          <m:f>
            <m:fPr>
              <m:ctrlPr>
                <w:rPr>
                  <w:rFonts w:ascii="Cambria Math" w:hAnsi="Cambria Math"/>
                  <w:i/>
                  <w:lang w:val="en-GB"/>
                </w:rPr>
              </m:ctrlPr>
            </m:fPr>
            <m:num>
              <m:r>
                <m:rPr>
                  <m:nor/>
                </m:rPr>
                <w:rPr>
                  <w:lang w:val="en-GB"/>
                </w:rPr>
                <m:t>N × Dint</m:t>
              </m:r>
            </m:num>
            <m:den>
              <m:r>
                <m:rPr>
                  <m:nor/>
                </m:rPr>
                <w:rPr>
                  <w:lang w:val="en-GB"/>
                </w:rPr>
                <m:t>D</m:t>
              </m:r>
            </m:den>
          </m:f>
          <m:r>
            <m:rPr>
              <m:nor/>
            </m:rPr>
            <w:rPr>
              <w:lang w:val="en-GB"/>
            </w:rPr>
            <m:t xml:space="preserve"> × </m:t>
          </m:r>
          <m:f>
            <m:fPr>
              <m:ctrlPr>
                <w:rPr>
                  <w:rFonts w:ascii="Cambria Math" w:hAnsi="Cambria Math"/>
                  <w:i/>
                  <w:lang w:val="en-GB"/>
                </w:rPr>
              </m:ctrlPr>
            </m:fPr>
            <m:num>
              <m:sSub>
                <m:sSubPr>
                  <m:ctrlPr>
                    <w:rPr>
                      <w:rFonts w:ascii="Cambria Math" w:hAnsi="Cambria Math"/>
                      <w:i/>
                      <w:lang w:val="en-GB"/>
                    </w:rPr>
                  </m:ctrlPr>
                </m:sSubPr>
                <m:e>
                  <m:r>
                    <m:rPr>
                      <m:nor/>
                    </m:rPr>
                    <w:rPr>
                      <w:lang w:val="en-GB"/>
                    </w:rPr>
                    <m:t>CAP</m:t>
                  </m:r>
                </m:e>
                <m:sub>
                  <m:r>
                    <m:rPr>
                      <m:nor/>
                    </m:rPr>
                    <w:rPr>
                      <w:lang w:val="en-GB"/>
                    </w:rPr>
                    <m:t xml:space="preserve">av. </m:t>
                  </m:r>
                  <w:proofErr w:type="spellStart"/>
                  <m:r>
                    <m:rPr>
                      <m:nor/>
                    </m:rPr>
                    <w:rPr>
                      <w:lang w:val="en-GB"/>
                    </w:rPr>
                    <m:t>int</m:t>
                  </m:r>
                  <w:proofErr w:type="spellEnd"/>
                </m:sub>
              </m:sSub>
            </m:num>
            <m:den>
              <m:r>
                <m:rPr>
                  <m:nor/>
                </m:rPr>
                <w:rPr>
                  <w:lang w:val="en-GB"/>
                </w:rPr>
                <m:t>CAP</m:t>
              </m:r>
            </m:den>
          </m:f>
        </m:oMath>
      </m:oMathPara>
    </w:p>
    <w:p w14:paraId="79EE9859" w14:textId="77777777" w:rsidR="005B6B84" w:rsidRDefault="005B6B84" w:rsidP="00F64147">
      <w:pPr>
        <w:jc w:val="both"/>
        <w:rPr>
          <w:lang w:val="en-GB"/>
        </w:rPr>
      </w:pPr>
    </w:p>
    <w:p w14:paraId="51578026" w14:textId="77777777" w:rsidR="00E418CA" w:rsidRDefault="00E418CA" w:rsidP="00F64147">
      <w:pPr>
        <w:jc w:val="both"/>
        <w:rPr>
          <w:lang w:val="en-GB"/>
        </w:rPr>
      </w:pPr>
    </w:p>
    <w:p w14:paraId="24DC0859" w14:textId="77777777" w:rsidR="005B6B84" w:rsidRDefault="005B6B84" w:rsidP="00F64147">
      <w:pPr>
        <w:jc w:val="both"/>
        <w:rPr>
          <w:lang w:val="en-GB"/>
        </w:rPr>
      </w:pPr>
      <w:r w:rsidRPr="005B6B84">
        <w:rPr>
          <w:lang w:val="en-GB"/>
        </w:rPr>
        <w:lastRenderedPageBreak/>
        <w:t xml:space="preserve">Where: </w:t>
      </w:r>
    </w:p>
    <w:p w14:paraId="2839104E" w14:textId="77777777" w:rsidR="005B6B84" w:rsidRDefault="005B6B84" w:rsidP="00F64147">
      <w:pPr>
        <w:jc w:val="both"/>
        <w:rPr>
          <w:lang w:val="en-GB"/>
        </w:rPr>
      </w:pPr>
    </w:p>
    <w:p w14:paraId="30334F3D" w14:textId="5174D76A" w:rsidR="005B6B84" w:rsidRDefault="005B6B84" w:rsidP="00F64147">
      <w:pPr>
        <w:jc w:val="both"/>
        <w:rPr>
          <w:lang w:val="en-GB"/>
        </w:rPr>
      </w:pPr>
      <w:r w:rsidRPr="005B6B84">
        <w:rPr>
          <w:lang w:val="en-GB"/>
        </w:rPr>
        <w:t>N is the expectation of the number of interruptions over</w:t>
      </w:r>
      <w:r w:rsidR="00105FAF">
        <w:rPr>
          <w:lang w:val="en-GB"/>
        </w:rPr>
        <w:t xml:space="preserve"> the period</w:t>
      </w:r>
      <w:r w:rsidR="00EE148A">
        <w:rPr>
          <w:lang w:val="en-GB"/>
        </w:rPr>
        <w:t xml:space="preserve"> D,</w:t>
      </w:r>
      <w:r w:rsidRPr="005B6B84">
        <w:rPr>
          <w:lang w:val="en-GB"/>
        </w:rPr>
        <w:t xml:space="preserve"> </w:t>
      </w:r>
    </w:p>
    <w:p w14:paraId="3B7394E7" w14:textId="77777777" w:rsidR="005B6B84" w:rsidRDefault="005B6B84" w:rsidP="00F64147">
      <w:pPr>
        <w:jc w:val="both"/>
        <w:rPr>
          <w:lang w:val="en-GB"/>
        </w:rPr>
      </w:pPr>
    </w:p>
    <w:p w14:paraId="5C242F2B" w14:textId="7DF680BC" w:rsidR="005B6B84" w:rsidRDefault="005B6B84" w:rsidP="00F64147">
      <w:pPr>
        <w:jc w:val="both"/>
        <w:rPr>
          <w:lang w:val="en-GB"/>
        </w:rPr>
      </w:pPr>
      <w:r w:rsidRPr="005B6B84">
        <w:rPr>
          <w:lang w:val="en-GB"/>
        </w:rPr>
        <w:t>D</w:t>
      </w:r>
      <w:r w:rsidRPr="005B6B84">
        <w:rPr>
          <w:vertAlign w:val="subscript"/>
          <w:lang w:val="en-GB"/>
        </w:rPr>
        <w:t>int</w:t>
      </w:r>
      <w:r w:rsidRPr="005B6B84">
        <w:rPr>
          <w:lang w:val="en-GB"/>
        </w:rPr>
        <w:t xml:space="preserve"> is the average duration of the expected i</w:t>
      </w:r>
      <w:r w:rsidR="00EE148A">
        <w:rPr>
          <w:lang w:val="en-GB"/>
        </w:rPr>
        <w:t>nterruptions expressed in hours,</w:t>
      </w:r>
      <w:r w:rsidRPr="005B6B84">
        <w:rPr>
          <w:lang w:val="en-GB"/>
        </w:rPr>
        <w:t xml:space="preserve"> </w:t>
      </w:r>
    </w:p>
    <w:p w14:paraId="733268DF" w14:textId="77777777" w:rsidR="005B6B84" w:rsidRDefault="005B6B84" w:rsidP="00F64147">
      <w:pPr>
        <w:jc w:val="both"/>
        <w:rPr>
          <w:lang w:val="en-GB"/>
        </w:rPr>
      </w:pPr>
    </w:p>
    <w:p w14:paraId="6FEE348F" w14:textId="2F150AE3" w:rsidR="005B6B84" w:rsidRDefault="005B6B84" w:rsidP="00F64147">
      <w:pPr>
        <w:jc w:val="both"/>
        <w:rPr>
          <w:lang w:val="en-GB"/>
        </w:rPr>
      </w:pPr>
      <w:r w:rsidRPr="005B6B84">
        <w:rPr>
          <w:lang w:val="en-GB"/>
        </w:rPr>
        <w:t>D is the total duration of the respective type of standard capacity product for interruptible capacity e</w:t>
      </w:r>
      <w:r w:rsidR="00EE148A">
        <w:rPr>
          <w:lang w:val="en-GB"/>
        </w:rPr>
        <w:t>xpressed in hours,</w:t>
      </w:r>
      <w:r w:rsidRPr="005B6B84">
        <w:rPr>
          <w:lang w:val="en-GB"/>
        </w:rPr>
        <w:t xml:space="preserve"> </w:t>
      </w:r>
    </w:p>
    <w:p w14:paraId="20635467" w14:textId="77777777" w:rsidR="005B6B84" w:rsidRDefault="005B6B84" w:rsidP="00F64147">
      <w:pPr>
        <w:jc w:val="both"/>
        <w:rPr>
          <w:lang w:val="en-GB"/>
        </w:rPr>
      </w:pPr>
    </w:p>
    <w:p w14:paraId="1DA9B00A" w14:textId="1FFC489D" w:rsidR="005B6B84" w:rsidRDefault="005B6B84" w:rsidP="00F64147">
      <w:pPr>
        <w:jc w:val="both"/>
        <w:rPr>
          <w:lang w:val="en-GB"/>
        </w:rPr>
      </w:pPr>
      <w:proofErr w:type="spellStart"/>
      <w:r w:rsidRPr="005B6B84">
        <w:rPr>
          <w:lang w:val="en-GB"/>
        </w:rPr>
        <w:t>CAP</w:t>
      </w:r>
      <w:r w:rsidRPr="005B6B84">
        <w:rPr>
          <w:vertAlign w:val="subscript"/>
          <w:lang w:val="en-GB"/>
        </w:rPr>
        <w:t>av</w:t>
      </w:r>
      <w:proofErr w:type="spellEnd"/>
      <w:r w:rsidRPr="005B6B84">
        <w:rPr>
          <w:vertAlign w:val="subscript"/>
          <w:lang w:val="en-GB"/>
        </w:rPr>
        <w:t xml:space="preserve">. </w:t>
      </w:r>
      <w:proofErr w:type="spellStart"/>
      <w:proofErr w:type="gramStart"/>
      <w:r w:rsidRPr="005B6B84">
        <w:rPr>
          <w:vertAlign w:val="subscript"/>
          <w:lang w:val="en-GB"/>
        </w:rPr>
        <w:t>int</w:t>
      </w:r>
      <w:proofErr w:type="spellEnd"/>
      <w:proofErr w:type="gramEnd"/>
      <w:r w:rsidRPr="005B6B84">
        <w:rPr>
          <w:vertAlign w:val="subscript"/>
          <w:lang w:val="en-GB"/>
        </w:rPr>
        <w:t xml:space="preserve"> </w:t>
      </w:r>
      <w:r w:rsidRPr="005B6B84">
        <w:rPr>
          <w:lang w:val="en-GB"/>
        </w:rPr>
        <w:t>is the expected average amount of interrupted capacity for each interruption where such amount is related to the respective type of standard capacity prod</w:t>
      </w:r>
      <w:r w:rsidR="00EE148A">
        <w:rPr>
          <w:lang w:val="en-GB"/>
        </w:rPr>
        <w:t>uct for interruptible capacity,</w:t>
      </w:r>
    </w:p>
    <w:p w14:paraId="11D32117" w14:textId="77777777" w:rsidR="005B6B84" w:rsidRDefault="005B6B84" w:rsidP="00F64147">
      <w:pPr>
        <w:jc w:val="both"/>
        <w:rPr>
          <w:lang w:val="en-GB"/>
        </w:rPr>
      </w:pPr>
    </w:p>
    <w:p w14:paraId="6BA91E55" w14:textId="77777777" w:rsidR="00F64147" w:rsidRDefault="005B6B84" w:rsidP="00F64147">
      <w:pPr>
        <w:jc w:val="both"/>
        <w:rPr>
          <w:lang w:val="en-GB"/>
        </w:rPr>
      </w:pPr>
      <w:r w:rsidRPr="005B6B84">
        <w:rPr>
          <w:lang w:val="en-GB"/>
        </w:rPr>
        <w:t>CAP is the total amount of interruptible capacity for the respective type of standard capacity product for interruptible capacity.</w:t>
      </w:r>
    </w:p>
    <w:p w14:paraId="51FD9ECF" w14:textId="77777777" w:rsidR="008C1057" w:rsidRDefault="008C1057">
      <w:pPr>
        <w:spacing w:after="160" w:line="259" w:lineRule="auto"/>
        <w:rPr>
          <w:lang w:val="en-GB"/>
        </w:rPr>
      </w:pPr>
    </w:p>
    <w:p w14:paraId="09C255D3" w14:textId="18EBC0E8" w:rsidR="00D56CE2" w:rsidRDefault="00B50779" w:rsidP="00417BC8">
      <w:pPr>
        <w:spacing w:after="160" w:line="259" w:lineRule="auto"/>
        <w:jc w:val="both"/>
        <w:rPr>
          <w:lang w:val="en-GB"/>
        </w:rPr>
      </w:pPr>
      <w:r w:rsidRPr="00B50779">
        <w:rPr>
          <w:lang w:val="en-GB"/>
        </w:rPr>
        <w:t xml:space="preserve">Methodology for calculating the </w:t>
      </w:r>
      <w:r w:rsidR="00D56CE2">
        <w:rPr>
          <w:lang w:val="en-GB"/>
        </w:rPr>
        <w:t>Pro factor</w:t>
      </w:r>
      <w:r>
        <w:rPr>
          <w:lang w:val="en-GB"/>
        </w:rPr>
        <w:t xml:space="preserve"> in case of transmission</w:t>
      </w:r>
      <w:r w:rsidR="00D56CE2">
        <w:rPr>
          <w:lang w:val="en-GB"/>
        </w:rPr>
        <w:t xml:space="preserve"> interruption once a </w:t>
      </w:r>
      <w:r w:rsidR="00B428FB">
        <w:rPr>
          <w:lang w:val="en-GB"/>
        </w:rPr>
        <w:t>year</w:t>
      </w:r>
      <w:r w:rsidR="00DB690F">
        <w:rPr>
          <w:lang w:val="en-GB"/>
        </w:rPr>
        <w:t xml:space="preserve"> (</w:t>
      </w:r>
      <w:r w:rsidR="00155775" w:rsidRPr="00155775">
        <w:rPr>
          <w:lang w:val="en-GB"/>
        </w:rPr>
        <w:t>which means that the total interruptible capacity for each interruptible product will be interrupted during 24 hours in a given year</w:t>
      </w:r>
      <w:r w:rsidR="00DB690F">
        <w:rPr>
          <w:lang w:val="en-GB"/>
        </w:rPr>
        <w:t>)</w:t>
      </w:r>
      <w:r w:rsidR="00D56CE2">
        <w:rPr>
          <w:lang w:val="en-GB"/>
        </w:rPr>
        <w:t>.</w:t>
      </w:r>
    </w:p>
    <w:p w14:paraId="7F634555" w14:textId="77777777" w:rsidR="00D56CE2" w:rsidRDefault="00D56CE2" w:rsidP="00D56CE2">
      <w:pPr>
        <w:jc w:val="both"/>
        <w:rPr>
          <w:lang w:val="en-GB"/>
        </w:rPr>
      </w:pPr>
    </w:p>
    <w:p w14:paraId="1E67CB3C" w14:textId="77777777" w:rsidR="004F6564" w:rsidRPr="00E11633" w:rsidRDefault="004F6564" w:rsidP="00D56CE2">
      <w:pPr>
        <w:jc w:val="both"/>
        <w:rPr>
          <w:lang w:val="en-GB"/>
        </w:rPr>
      </w:pPr>
      <m:oMathPara>
        <m:oMathParaPr>
          <m:jc m:val="left"/>
        </m:oMathParaPr>
        <m:oMath>
          <m:r>
            <m:rPr>
              <m:nor/>
            </m:rPr>
            <w:rPr>
              <w:lang w:val="en-GB"/>
            </w:rPr>
            <m:t xml:space="preserve">Pro = </m:t>
          </m:r>
          <m:f>
            <m:fPr>
              <m:ctrlPr>
                <w:rPr>
                  <w:rFonts w:ascii="Cambria Math" w:hAnsi="Cambria Math"/>
                  <w:i/>
                  <w:lang w:val="en-GB"/>
                </w:rPr>
              </m:ctrlPr>
            </m:fPr>
            <m:num>
              <m:r>
                <m:rPr>
                  <m:nor/>
                </m:rPr>
                <w:rPr>
                  <w:lang w:val="en-GB"/>
                </w:rPr>
                <m:t>N x Dint</m:t>
              </m:r>
            </m:num>
            <m:den>
              <m:r>
                <m:rPr>
                  <m:nor/>
                </m:rPr>
                <w:rPr>
                  <w:lang w:val="en-GB"/>
                </w:rPr>
                <m:t>D</m:t>
              </m:r>
            </m:den>
          </m:f>
          <m:r>
            <m:rPr>
              <m:nor/>
            </m:rPr>
            <w:rPr>
              <w:lang w:val="en-GB"/>
            </w:rPr>
            <m:t xml:space="preserve"> × </m:t>
          </m:r>
          <m:f>
            <m:fPr>
              <m:ctrlPr>
                <w:rPr>
                  <w:rFonts w:ascii="Cambria Math" w:hAnsi="Cambria Math"/>
                  <w:i/>
                  <w:lang w:val="en-GB"/>
                </w:rPr>
              </m:ctrlPr>
            </m:fPr>
            <m:num>
              <m:sSub>
                <m:sSubPr>
                  <m:ctrlPr>
                    <w:rPr>
                      <w:rFonts w:ascii="Cambria Math" w:hAnsi="Cambria Math"/>
                      <w:i/>
                      <w:lang w:val="en-GB"/>
                    </w:rPr>
                  </m:ctrlPr>
                </m:sSubPr>
                <m:e>
                  <m:r>
                    <m:rPr>
                      <m:nor/>
                    </m:rPr>
                    <w:rPr>
                      <w:lang w:val="en-GB"/>
                    </w:rPr>
                    <m:t>CAP</m:t>
                  </m:r>
                </m:e>
                <m:sub>
                  <m:r>
                    <m:rPr>
                      <m:nor/>
                    </m:rPr>
                    <w:rPr>
                      <w:lang w:val="en-GB"/>
                    </w:rPr>
                    <m:t>av.int</m:t>
                  </m:r>
                </m:sub>
              </m:sSub>
            </m:num>
            <m:den>
              <m:r>
                <m:rPr>
                  <m:nor/>
                </m:rPr>
                <w:rPr>
                  <w:lang w:val="en-GB"/>
                </w:rPr>
                <m:t>CAP</m:t>
              </m:r>
            </m:den>
          </m:f>
        </m:oMath>
      </m:oMathPara>
    </w:p>
    <w:p w14:paraId="0EEC924B" w14:textId="77777777" w:rsidR="004F6564" w:rsidRPr="00E11633" w:rsidRDefault="004F6564" w:rsidP="00D56CE2">
      <w:pPr>
        <w:jc w:val="both"/>
        <w:rPr>
          <w:lang w:val="en-GB"/>
        </w:rPr>
      </w:pPr>
    </w:p>
    <w:p w14:paraId="24B50464" w14:textId="77777777" w:rsidR="00D56CE2" w:rsidRPr="00E11633" w:rsidRDefault="00D56CE2" w:rsidP="00D56CE2">
      <w:pPr>
        <w:jc w:val="both"/>
        <w:rPr>
          <w:lang w:val="en-GB"/>
        </w:rPr>
      </w:pPr>
    </w:p>
    <w:p w14:paraId="4F762C32" w14:textId="77777777" w:rsidR="00ED0675" w:rsidRPr="00E11633" w:rsidRDefault="00ED0675" w:rsidP="00D56CE2">
      <w:pPr>
        <w:jc w:val="both"/>
        <w:rPr>
          <w:lang w:val="en-GB"/>
        </w:rPr>
      </w:pPr>
      <m:oMathPara>
        <m:oMathParaPr>
          <m:jc m:val="left"/>
        </m:oMathParaPr>
        <m:oMath>
          <m:r>
            <m:rPr>
              <m:nor/>
            </m:rPr>
            <w:rPr>
              <w:lang w:val="en-GB"/>
            </w:rPr>
            <m:t xml:space="preserve">Pro = </m:t>
          </m:r>
          <m:f>
            <m:fPr>
              <m:ctrlPr>
                <w:rPr>
                  <w:rFonts w:ascii="Cambria Math" w:hAnsi="Cambria Math"/>
                  <w:i/>
                  <w:lang w:val="en-GB"/>
                </w:rPr>
              </m:ctrlPr>
            </m:fPr>
            <m:num>
              <m:r>
                <m:rPr>
                  <m:nor/>
                </m:rPr>
                <w:rPr>
                  <w:lang w:val="en-GB"/>
                </w:rPr>
                <m:t>1×24</m:t>
              </m:r>
            </m:num>
            <m:den>
              <m:r>
                <m:rPr>
                  <m:nor/>
                </m:rPr>
                <w:rPr>
                  <w:lang w:val="en-GB"/>
                </w:rPr>
                <m:t>24×365</m:t>
              </m:r>
            </m:den>
          </m:f>
          <m:r>
            <m:rPr>
              <m:nor/>
            </m:rPr>
            <w:rPr>
              <w:lang w:val="en-GB"/>
            </w:rPr>
            <m:t xml:space="preserve"> x 1</m:t>
          </m:r>
        </m:oMath>
      </m:oMathPara>
    </w:p>
    <w:p w14:paraId="038A5907" w14:textId="77777777" w:rsidR="00ED0675" w:rsidRPr="00E11633" w:rsidRDefault="00ED0675" w:rsidP="00D56CE2">
      <w:pPr>
        <w:jc w:val="both"/>
        <w:rPr>
          <w:lang w:val="en-GB"/>
        </w:rPr>
      </w:pPr>
    </w:p>
    <w:p w14:paraId="6D86135E" w14:textId="77777777" w:rsidR="00B428FB" w:rsidRPr="00E11633" w:rsidRDefault="00B428FB" w:rsidP="00D56CE2">
      <w:pPr>
        <w:jc w:val="both"/>
        <w:rPr>
          <w:lang w:val="en-GB"/>
        </w:rPr>
      </w:pPr>
    </w:p>
    <w:p w14:paraId="4BA1F555" w14:textId="77777777" w:rsidR="00A33CE5" w:rsidRPr="00E11633" w:rsidRDefault="00A33CE5" w:rsidP="00D56CE2">
      <w:pPr>
        <w:jc w:val="both"/>
        <w:rPr>
          <w:lang w:val="en-GB"/>
        </w:rPr>
      </w:pPr>
      <m:oMathPara>
        <m:oMathParaPr>
          <m:jc m:val="left"/>
        </m:oMathParaPr>
        <m:oMath>
          <m:r>
            <m:rPr>
              <m:nor/>
            </m:rPr>
            <w:rPr>
              <w:lang w:val="en-GB"/>
            </w:rPr>
            <m:t xml:space="preserve">Pro = </m:t>
          </m:r>
          <m:f>
            <m:fPr>
              <m:ctrlPr>
                <w:rPr>
                  <w:rFonts w:ascii="Cambria Math" w:hAnsi="Cambria Math"/>
                  <w:i/>
                  <w:lang w:val="en-GB"/>
                </w:rPr>
              </m:ctrlPr>
            </m:fPr>
            <m:num>
              <m:r>
                <m:rPr>
                  <m:nor/>
                </m:rPr>
                <w:rPr>
                  <w:lang w:val="en-GB"/>
                </w:rPr>
                <m:t>24</m:t>
              </m:r>
            </m:num>
            <m:den>
              <m:r>
                <m:rPr>
                  <m:nor/>
                </m:rPr>
                <w:rPr>
                  <w:lang w:val="en-GB"/>
                </w:rPr>
                <m:t>8760</m:t>
              </m:r>
            </m:den>
          </m:f>
        </m:oMath>
      </m:oMathPara>
    </w:p>
    <w:p w14:paraId="1F4DA535" w14:textId="77777777" w:rsidR="00A33CE5" w:rsidRPr="00E11633" w:rsidRDefault="00A33CE5" w:rsidP="00D56CE2">
      <w:pPr>
        <w:jc w:val="both"/>
        <w:rPr>
          <w:lang w:val="en-GB"/>
        </w:rPr>
      </w:pPr>
    </w:p>
    <w:p w14:paraId="00C7A83E" w14:textId="77777777" w:rsidR="002C4BCF" w:rsidRPr="00E11633" w:rsidRDefault="002C4BCF" w:rsidP="00D56CE2">
      <w:pPr>
        <w:jc w:val="both"/>
        <w:rPr>
          <w:lang w:val="en-GB"/>
        </w:rPr>
      </w:pPr>
    </w:p>
    <w:p w14:paraId="068DF8AA" w14:textId="77777777" w:rsidR="00A33CE5" w:rsidRPr="00E11633" w:rsidRDefault="002C4BCF" w:rsidP="00D56CE2">
      <w:pPr>
        <w:jc w:val="both"/>
        <w:rPr>
          <w:lang w:val="en-GB"/>
        </w:rPr>
      </w:pPr>
      <m:oMathPara>
        <m:oMathParaPr>
          <m:jc m:val="left"/>
        </m:oMathParaPr>
        <m:oMath>
          <m:r>
            <m:rPr>
              <m:nor/>
            </m:rPr>
            <w:rPr>
              <w:lang w:val="en-GB"/>
            </w:rPr>
            <m:t>Pro = 0.00274</m:t>
          </m:r>
        </m:oMath>
      </m:oMathPara>
    </w:p>
    <w:p w14:paraId="0F8956B2" w14:textId="77777777" w:rsidR="00B428FB" w:rsidRDefault="00B428FB" w:rsidP="00D56CE2">
      <w:pPr>
        <w:jc w:val="both"/>
        <w:rPr>
          <w:u w:val="single"/>
          <w:lang w:val="en-GB"/>
        </w:rPr>
      </w:pPr>
    </w:p>
    <w:p w14:paraId="22CFADD6" w14:textId="275450A3" w:rsidR="00B428FB" w:rsidRDefault="00C85121">
      <w:pPr>
        <w:spacing w:after="160" w:line="259" w:lineRule="auto"/>
        <w:jc w:val="both"/>
        <w:rPr>
          <w:lang w:val="en-GB"/>
        </w:rPr>
      </w:pPr>
      <w:r w:rsidRPr="00C85121">
        <w:rPr>
          <w:lang w:val="en-GB"/>
        </w:rPr>
        <w:t xml:space="preserve">Pro factor </w:t>
      </w:r>
      <w:r>
        <w:rPr>
          <w:lang w:val="en-GB"/>
        </w:rPr>
        <w:t xml:space="preserve">is evaluated to be </w:t>
      </w:r>
      <w:r w:rsidR="00B428FB">
        <w:rPr>
          <w:lang w:val="en-GB"/>
        </w:rPr>
        <w:t>0.00274</w:t>
      </w:r>
      <w:r w:rsidR="00417BC8">
        <w:rPr>
          <w:lang w:val="en-GB"/>
        </w:rPr>
        <w:t>.</w:t>
      </w:r>
      <w:r w:rsidR="008C1057" w:rsidRPr="008C1057">
        <w:rPr>
          <w:lang w:val="en-GB"/>
        </w:rPr>
        <w:t xml:space="preserve"> </w:t>
      </w:r>
    </w:p>
    <w:p w14:paraId="144CA3AC" w14:textId="77777777" w:rsidR="002C4BCF" w:rsidRDefault="00B428FB">
      <w:pPr>
        <w:spacing w:after="160" w:line="259" w:lineRule="auto"/>
        <w:jc w:val="both"/>
        <w:rPr>
          <w:lang w:val="en-GB"/>
        </w:rPr>
      </w:pPr>
      <w:r>
        <w:rPr>
          <w:lang w:val="en-GB"/>
        </w:rPr>
        <w:t>Adjustment factor A is proposed to be 1. This results into the following, proposed level of ex-ante discount:</w:t>
      </w:r>
      <w:r w:rsidRPr="008C1057" w:rsidDel="00B428FB">
        <w:rPr>
          <w:lang w:val="en-GB"/>
        </w:rPr>
        <w:t xml:space="preserve"> </w:t>
      </w:r>
    </w:p>
    <w:p w14:paraId="5B2FBAA0" w14:textId="77777777" w:rsidR="00B428FB" w:rsidRPr="00064E4D" w:rsidRDefault="00A13677">
      <w:pPr>
        <w:spacing w:after="160" w:line="259" w:lineRule="auto"/>
        <w:jc w:val="both"/>
        <w:rPr>
          <w:lang w:val="de-AT"/>
        </w:rPr>
      </w:pPr>
      <m:oMathPara>
        <m:oMathParaPr>
          <m:jc m:val="left"/>
        </m:oMathParaPr>
        <m:oMath>
          <m:sSub>
            <m:sSubPr>
              <m:ctrlPr>
                <w:rPr>
                  <w:rFonts w:ascii="Cambria Math" w:hAnsi="Cambria Math"/>
                  <w:lang w:val="en-GB"/>
                </w:rPr>
              </m:ctrlPr>
            </m:sSubPr>
            <m:e>
              <m:r>
                <m:rPr>
                  <m:nor/>
                </m:rPr>
                <w:rPr>
                  <w:lang w:val="de-AT"/>
                </w:rPr>
                <m:t>Di</m:t>
              </m:r>
            </m:e>
            <m:sub>
              <m:r>
                <m:rPr>
                  <m:nor/>
                </m:rPr>
                <w:rPr>
                  <w:lang w:val="de-AT"/>
                </w:rPr>
                <m:t>ex-ante</m:t>
              </m:r>
            </m:sub>
          </m:sSub>
          <m:r>
            <m:rPr>
              <m:nor/>
            </m:rPr>
            <w:rPr>
              <w:lang w:val="de-AT"/>
            </w:rPr>
            <m:t xml:space="preserve"> = 0.00274 × 1 × 100 %</m:t>
          </m:r>
        </m:oMath>
      </m:oMathPara>
    </w:p>
    <w:p w14:paraId="51176E5B" w14:textId="77777777" w:rsidR="00B428FB" w:rsidRPr="00064E4D" w:rsidRDefault="00B428FB" w:rsidP="00B428FB">
      <w:pPr>
        <w:jc w:val="both"/>
        <w:rPr>
          <w:lang w:val="de-AT"/>
        </w:rPr>
      </w:pPr>
    </w:p>
    <w:p w14:paraId="0AF177EC" w14:textId="77777777" w:rsidR="00B428FB" w:rsidRPr="00064E4D" w:rsidRDefault="00A13677" w:rsidP="00B428FB">
      <w:pPr>
        <w:jc w:val="both"/>
        <w:rPr>
          <w:lang w:val="de-AT"/>
        </w:rPr>
      </w:pPr>
      <m:oMathPara>
        <m:oMathParaPr>
          <m:jc m:val="left"/>
        </m:oMathParaPr>
        <m:oMath>
          <m:sSub>
            <m:sSubPr>
              <m:ctrlPr>
                <w:rPr>
                  <w:rFonts w:ascii="Cambria Math" w:hAnsi="Cambria Math"/>
                  <w:i/>
                  <w:lang w:val="en-GB"/>
                </w:rPr>
              </m:ctrlPr>
            </m:sSubPr>
            <m:e>
              <m:r>
                <m:rPr>
                  <m:nor/>
                </m:rPr>
                <w:rPr>
                  <w:lang w:val="de-AT"/>
                </w:rPr>
                <m:t>Di</m:t>
              </m:r>
            </m:e>
            <m:sub>
              <m:r>
                <m:rPr>
                  <m:nor/>
                </m:rPr>
                <w:rPr>
                  <w:lang w:val="de-AT"/>
                </w:rPr>
                <m:t>ex-ante</m:t>
              </m:r>
            </m:sub>
          </m:sSub>
          <m:r>
            <m:rPr>
              <m:nor/>
            </m:rPr>
            <w:rPr>
              <w:lang w:val="de-AT"/>
            </w:rPr>
            <m:t xml:space="preserve"> = 0.274 %</m:t>
          </m:r>
        </m:oMath>
      </m:oMathPara>
    </w:p>
    <w:p w14:paraId="6C924A8F" w14:textId="77777777" w:rsidR="00B428FB" w:rsidRPr="00064E4D" w:rsidRDefault="00B428FB" w:rsidP="00B428FB">
      <w:pPr>
        <w:jc w:val="both"/>
        <w:rPr>
          <w:lang w:val="de-AT"/>
        </w:rPr>
      </w:pPr>
    </w:p>
    <w:p w14:paraId="43434822" w14:textId="386A86A0" w:rsidR="00B428FB" w:rsidRPr="00F271AF" w:rsidRDefault="00F271AF">
      <w:pPr>
        <w:spacing w:after="160" w:line="259" w:lineRule="auto"/>
        <w:jc w:val="both"/>
        <w:rPr>
          <w:lang w:val="en-GB"/>
        </w:rPr>
      </w:pPr>
      <w:r w:rsidRPr="00F271AF">
        <w:rPr>
          <w:lang w:val="en-GB"/>
        </w:rPr>
        <w:t xml:space="preserve">In comparison with the currently </w:t>
      </w:r>
      <w:r w:rsidR="00F41148">
        <w:rPr>
          <w:lang w:val="en-GB"/>
        </w:rPr>
        <w:t>applied</w:t>
      </w:r>
      <w:r w:rsidRPr="00F271AF">
        <w:rPr>
          <w:lang w:val="en-GB"/>
        </w:rPr>
        <w:t xml:space="preserve"> level of discount on reserve prices for standard capacity products for interruptible </w:t>
      </w:r>
      <w:r w:rsidR="00F41148">
        <w:rPr>
          <w:lang w:val="en-GB"/>
        </w:rPr>
        <w:t>capacity which was determined</w:t>
      </w:r>
      <w:r w:rsidRPr="00F271AF">
        <w:rPr>
          <w:lang w:val="en-GB"/>
        </w:rPr>
        <w:t xml:space="preserve"> in accordance with the decision of the Office </w:t>
      </w:r>
      <w:r>
        <w:rPr>
          <w:lang w:val="en-GB"/>
        </w:rPr>
        <w:t>N</w:t>
      </w:r>
      <w:r w:rsidRPr="00F271AF">
        <w:rPr>
          <w:lang w:val="en-GB"/>
        </w:rPr>
        <w:t>o. 000</w:t>
      </w:r>
      <w:r w:rsidR="00B50779">
        <w:rPr>
          <w:lang w:val="en-GB"/>
        </w:rPr>
        <w:t>1</w:t>
      </w:r>
      <w:r w:rsidRPr="00F271AF">
        <w:rPr>
          <w:lang w:val="en-GB"/>
        </w:rPr>
        <w:t>/20</w:t>
      </w:r>
      <w:r w:rsidR="00B50779">
        <w:rPr>
          <w:lang w:val="en-GB"/>
        </w:rPr>
        <w:t>25</w:t>
      </w:r>
      <w:r w:rsidRPr="00F271AF">
        <w:rPr>
          <w:lang w:val="en-GB"/>
        </w:rPr>
        <w:t xml:space="preserve">/P dated </w:t>
      </w:r>
      <w:r w:rsidR="00B50779">
        <w:rPr>
          <w:lang w:val="en-GB"/>
        </w:rPr>
        <w:t xml:space="preserve">5 June </w:t>
      </w:r>
      <w:r w:rsidRPr="00F271AF">
        <w:rPr>
          <w:lang w:val="en-GB"/>
        </w:rPr>
        <w:t>20</w:t>
      </w:r>
      <w:r w:rsidR="00B50779">
        <w:rPr>
          <w:lang w:val="en-GB"/>
        </w:rPr>
        <w:t xml:space="preserve">24 </w:t>
      </w:r>
      <w:r w:rsidRPr="00F271AF">
        <w:rPr>
          <w:lang w:val="en-GB"/>
        </w:rPr>
        <w:t>(point 12.4</w:t>
      </w:r>
      <w:r>
        <w:rPr>
          <w:lang w:val="en-GB"/>
        </w:rPr>
        <w:t>.</w:t>
      </w:r>
      <w:r w:rsidRPr="00F271AF">
        <w:rPr>
          <w:lang w:val="en-GB"/>
        </w:rPr>
        <w:t>), there is no change in the Office's proposal in the proposed level of th</w:t>
      </w:r>
      <w:r>
        <w:rPr>
          <w:lang w:val="en-GB"/>
        </w:rPr>
        <w:t>e</w:t>
      </w:r>
      <w:r w:rsidRPr="00F271AF">
        <w:rPr>
          <w:lang w:val="en-GB"/>
        </w:rPr>
        <w:t xml:space="preserve"> discount on the reserve prices for standard capacity products for interruptible capacity.</w:t>
      </w:r>
    </w:p>
    <w:p w14:paraId="50860431" w14:textId="24B775BA" w:rsidR="00780C9C" w:rsidRPr="00CA66BC" w:rsidRDefault="00417BC8" w:rsidP="00CA66BC">
      <w:pPr>
        <w:pStyle w:val="Odsekzoznamu"/>
        <w:numPr>
          <w:ilvl w:val="0"/>
          <w:numId w:val="3"/>
        </w:numPr>
        <w:spacing w:after="160" w:line="259" w:lineRule="auto"/>
        <w:jc w:val="both"/>
        <w:rPr>
          <w:b/>
          <w:lang w:val="en-GB"/>
        </w:rPr>
      </w:pPr>
      <w:r w:rsidRPr="00CA66BC">
        <w:rPr>
          <w:lang w:val="de-AT"/>
        </w:rPr>
        <w:br w:type="page"/>
      </w:r>
      <w:r w:rsidR="00CA66BC" w:rsidRPr="00CA66BC">
        <w:rPr>
          <w:b/>
          <w:lang w:val="en-GB"/>
        </w:rPr>
        <w:lastRenderedPageBreak/>
        <w:t>Procedure</w:t>
      </w:r>
      <w:r w:rsidR="00780C9C" w:rsidRPr="00CA66BC">
        <w:rPr>
          <w:b/>
          <w:lang w:val="en-GB"/>
        </w:rPr>
        <w:t xml:space="preserve"> </w:t>
      </w:r>
      <w:r w:rsidR="00CA66BC" w:rsidRPr="00CA66BC">
        <w:rPr>
          <w:b/>
          <w:lang w:val="en-GB"/>
        </w:rPr>
        <w:t>for</w:t>
      </w:r>
      <w:r w:rsidR="00780C9C" w:rsidRPr="00CA66BC">
        <w:rPr>
          <w:b/>
          <w:lang w:val="en-GB"/>
        </w:rPr>
        <w:t xml:space="preserve"> </w:t>
      </w:r>
      <w:r w:rsidR="0072159E">
        <w:rPr>
          <w:b/>
          <w:lang w:val="en-GB"/>
        </w:rPr>
        <w:t>submission of the</w:t>
      </w:r>
      <w:r w:rsidR="00CA66BC" w:rsidRPr="00CA66BC">
        <w:rPr>
          <w:b/>
          <w:lang w:val="en-GB"/>
        </w:rPr>
        <w:t xml:space="preserve"> responses </w:t>
      </w:r>
      <w:r w:rsidR="0072159E">
        <w:rPr>
          <w:b/>
          <w:lang w:val="en-GB"/>
        </w:rPr>
        <w:t>within</w:t>
      </w:r>
      <w:r w:rsidR="00CA66BC" w:rsidRPr="00CA66BC">
        <w:rPr>
          <w:b/>
          <w:lang w:val="en-GB"/>
        </w:rPr>
        <w:t xml:space="preserve"> the Consultation</w:t>
      </w:r>
      <w:bookmarkStart w:id="0" w:name="_GoBack"/>
      <w:bookmarkEnd w:id="0"/>
    </w:p>
    <w:p w14:paraId="304DD61F" w14:textId="7FA88AB2" w:rsidR="00375F00" w:rsidRDefault="005B0B41" w:rsidP="00375F00">
      <w:pPr>
        <w:pStyle w:val="Default"/>
        <w:jc w:val="both"/>
        <w:rPr>
          <w:rFonts w:eastAsia="Times New Roman"/>
          <w:color w:val="auto"/>
          <w:lang w:val="en-GB" w:eastAsia="sk-SK"/>
        </w:rPr>
      </w:pPr>
      <w:r w:rsidRPr="005B0B41">
        <w:rPr>
          <w:rFonts w:eastAsia="Times New Roman"/>
          <w:color w:val="auto"/>
          <w:lang w:val="en-GB" w:eastAsia="sk-SK"/>
        </w:rPr>
        <w:t>The Office expects to</w:t>
      </w:r>
      <w:r>
        <w:rPr>
          <w:rFonts w:eastAsia="Times New Roman"/>
          <w:color w:val="auto"/>
          <w:lang w:val="en-GB" w:eastAsia="sk-SK"/>
        </w:rPr>
        <w:t xml:space="preserve"> receive</w:t>
      </w:r>
      <w:r w:rsidRPr="005B0B41">
        <w:rPr>
          <w:rFonts w:eastAsia="Times New Roman"/>
          <w:color w:val="auto"/>
          <w:lang w:val="en-GB" w:eastAsia="sk-SK"/>
        </w:rPr>
        <w:t xml:space="preserve"> </w:t>
      </w:r>
      <w:r w:rsidR="00325F5C">
        <w:rPr>
          <w:rFonts w:eastAsia="Times New Roman"/>
          <w:color w:val="auto"/>
          <w:lang w:val="en-GB" w:eastAsia="sk-SK"/>
        </w:rPr>
        <w:t>feedback</w:t>
      </w:r>
      <w:r w:rsidRPr="005B0B41">
        <w:rPr>
          <w:rFonts w:eastAsia="Times New Roman"/>
          <w:color w:val="auto"/>
          <w:lang w:val="en-GB" w:eastAsia="sk-SK"/>
        </w:rPr>
        <w:t xml:space="preserve"> to the proposal listed in this Consultation Document by </w:t>
      </w:r>
      <w:r w:rsidR="009309D2" w:rsidRPr="009309D2">
        <w:rPr>
          <w:rFonts w:eastAsia="Times New Roman"/>
          <w:color w:val="auto"/>
          <w:lang w:val="en-GB" w:eastAsia="sk-SK"/>
        </w:rPr>
        <w:t>07</w:t>
      </w:r>
      <w:r w:rsidRPr="009309D2">
        <w:rPr>
          <w:rFonts w:eastAsia="Times New Roman"/>
          <w:color w:val="auto"/>
          <w:lang w:val="en-GB" w:eastAsia="sk-SK"/>
        </w:rPr>
        <w:t>.</w:t>
      </w:r>
      <w:r w:rsidR="009309D2" w:rsidRPr="009309D2">
        <w:rPr>
          <w:rFonts w:eastAsia="Times New Roman"/>
          <w:color w:val="auto"/>
          <w:lang w:val="en-GB" w:eastAsia="sk-SK"/>
        </w:rPr>
        <w:t>12</w:t>
      </w:r>
      <w:r w:rsidRPr="009309D2">
        <w:rPr>
          <w:rFonts w:eastAsia="Times New Roman"/>
          <w:color w:val="auto"/>
          <w:lang w:val="en-GB" w:eastAsia="sk-SK"/>
        </w:rPr>
        <w:t>.202</w:t>
      </w:r>
      <w:r w:rsidR="00F319CA">
        <w:rPr>
          <w:rFonts w:eastAsia="Times New Roman"/>
          <w:color w:val="auto"/>
          <w:lang w:val="en-GB" w:eastAsia="sk-SK"/>
        </w:rPr>
        <w:t>5</w:t>
      </w:r>
      <w:r w:rsidRPr="009309D2">
        <w:rPr>
          <w:rFonts w:eastAsia="Times New Roman"/>
          <w:color w:val="auto"/>
          <w:lang w:val="en-GB" w:eastAsia="sk-SK"/>
        </w:rPr>
        <w:t xml:space="preserve"> (including).</w:t>
      </w:r>
      <w:r w:rsidRPr="005B0B41">
        <w:rPr>
          <w:rFonts w:eastAsia="Times New Roman"/>
          <w:color w:val="auto"/>
          <w:lang w:val="en-GB" w:eastAsia="sk-SK"/>
        </w:rPr>
        <w:t xml:space="preserve"> The Office will not consider </w:t>
      </w:r>
      <w:r>
        <w:rPr>
          <w:rFonts w:eastAsia="Times New Roman"/>
          <w:color w:val="auto"/>
          <w:lang w:val="en-GB" w:eastAsia="sk-SK"/>
        </w:rPr>
        <w:t>responses</w:t>
      </w:r>
      <w:r w:rsidRPr="005B0B41">
        <w:rPr>
          <w:rFonts w:eastAsia="Times New Roman"/>
          <w:color w:val="auto"/>
          <w:lang w:val="en-GB" w:eastAsia="sk-SK"/>
        </w:rPr>
        <w:t xml:space="preserve"> received after this deadline. Please s</w:t>
      </w:r>
      <w:r w:rsidR="00597297">
        <w:rPr>
          <w:rFonts w:eastAsia="Times New Roman"/>
          <w:color w:val="auto"/>
          <w:lang w:val="en-GB" w:eastAsia="sk-SK"/>
        </w:rPr>
        <w:t>ubmit</w:t>
      </w:r>
      <w:r w:rsidRPr="005B0B41">
        <w:rPr>
          <w:rFonts w:eastAsia="Times New Roman"/>
          <w:color w:val="auto"/>
          <w:lang w:val="en-GB" w:eastAsia="sk-SK"/>
        </w:rPr>
        <w:t xml:space="preserve"> </w:t>
      </w:r>
      <w:r>
        <w:rPr>
          <w:rFonts w:eastAsia="Times New Roman"/>
          <w:color w:val="auto"/>
          <w:lang w:val="en-GB" w:eastAsia="sk-SK"/>
        </w:rPr>
        <w:t>your responses</w:t>
      </w:r>
      <w:r w:rsidRPr="005B0B41">
        <w:rPr>
          <w:rFonts w:eastAsia="Times New Roman"/>
          <w:color w:val="auto"/>
          <w:lang w:val="en-GB" w:eastAsia="sk-SK"/>
        </w:rPr>
        <w:t xml:space="preserve"> by e-mail to the e-mail address</w:t>
      </w:r>
      <w:r w:rsidR="00597297">
        <w:rPr>
          <w:rFonts w:eastAsia="Times New Roman"/>
          <w:color w:val="auto"/>
          <w:lang w:val="en-GB" w:eastAsia="sk-SK"/>
        </w:rPr>
        <w:t>:</w:t>
      </w:r>
      <w:r w:rsidRPr="005B0B41">
        <w:rPr>
          <w:rFonts w:eastAsia="Times New Roman"/>
          <w:color w:val="auto"/>
          <w:lang w:val="en-GB" w:eastAsia="sk-SK"/>
        </w:rPr>
        <w:t xml:space="preserve"> </w:t>
      </w:r>
      <w:hyperlink r:id="rId11" w:history="1">
        <w:r w:rsidRPr="0090643F">
          <w:rPr>
            <w:rStyle w:val="Hypertextovprepojenie"/>
            <w:rFonts w:eastAsia="Times New Roman"/>
            <w:lang w:val="en-GB" w:eastAsia="sk-SK"/>
          </w:rPr>
          <w:t>plyn@urso.gov.sk</w:t>
        </w:r>
      </w:hyperlink>
      <w:r w:rsidRPr="005B0B41">
        <w:rPr>
          <w:rFonts w:eastAsia="Times New Roman"/>
          <w:color w:val="auto"/>
          <w:lang w:val="en-GB" w:eastAsia="sk-SK"/>
        </w:rPr>
        <w:t>.</w:t>
      </w:r>
    </w:p>
    <w:p w14:paraId="2DFA1119" w14:textId="1E10DDE6" w:rsidR="00DB7C7C" w:rsidRDefault="00DB7C7C" w:rsidP="00375F00">
      <w:pPr>
        <w:pStyle w:val="Default"/>
        <w:jc w:val="both"/>
        <w:rPr>
          <w:rFonts w:eastAsia="Times New Roman"/>
          <w:color w:val="auto"/>
          <w:lang w:val="en-GB" w:eastAsia="sk-SK"/>
        </w:rPr>
      </w:pPr>
    </w:p>
    <w:p w14:paraId="351C3B87" w14:textId="265BFDD2" w:rsidR="00651820" w:rsidRDefault="004D4937" w:rsidP="00375F00">
      <w:pPr>
        <w:pStyle w:val="Default"/>
        <w:jc w:val="both"/>
        <w:rPr>
          <w:rFonts w:eastAsia="Times New Roman"/>
          <w:color w:val="auto"/>
          <w:lang w:val="en-GB" w:eastAsia="sk-SK"/>
        </w:rPr>
      </w:pPr>
      <w:r>
        <w:rPr>
          <w:rFonts w:eastAsia="Times New Roman"/>
          <w:color w:val="auto"/>
          <w:lang w:val="en-GB" w:eastAsia="sk-SK"/>
        </w:rPr>
        <w:t>S</w:t>
      </w:r>
      <w:r w:rsidR="00985833" w:rsidRPr="00985833">
        <w:rPr>
          <w:rFonts w:eastAsia="Times New Roman"/>
          <w:color w:val="auto"/>
          <w:lang w:val="en-GB" w:eastAsia="sk-SK"/>
        </w:rPr>
        <w:t xml:space="preserve">takeholders are entitled to </w:t>
      </w:r>
      <w:r w:rsidR="00651820" w:rsidRPr="00651820">
        <w:rPr>
          <w:rFonts w:eastAsia="Times New Roman"/>
          <w:color w:val="auto"/>
          <w:lang w:val="en-GB" w:eastAsia="sk-SK"/>
        </w:rPr>
        <w:t xml:space="preserve">ask </w:t>
      </w:r>
      <w:r w:rsidR="00375F00">
        <w:rPr>
          <w:rFonts w:eastAsia="Times New Roman"/>
          <w:color w:val="auto"/>
          <w:lang w:val="en-GB" w:eastAsia="sk-SK"/>
        </w:rPr>
        <w:t xml:space="preserve">the Office </w:t>
      </w:r>
      <w:r w:rsidR="00985833">
        <w:rPr>
          <w:rFonts w:eastAsia="Times New Roman"/>
          <w:color w:val="auto"/>
          <w:lang w:val="en-GB" w:eastAsia="sk-SK"/>
        </w:rPr>
        <w:t>for</w:t>
      </w:r>
      <w:r w:rsidR="00651820" w:rsidRPr="00651820">
        <w:rPr>
          <w:rFonts w:eastAsia="Times New Roman"/>
          <w:color w:val="auto"/>
          <w:lang w:val="en-GB" w:eastAsia="sk-SK"/>
        </w:rPr>
        <w:t xml:space="preserve"> keep</w:t>
      </w:r>
      <w:r w:rsidR="00985833">
        <w:rPr>
          <w:rFonts w:eastAsia="Times New Roman"/>
          <w:color w:val="auto"/>
          <w:lang w:val="en-GB" w:eastAsia="sk-SK"/>
        </w:rPr>
        <w:t>ing</w:t>
      </w:r>
      <w:r w:rsidR="00651820" w:rsidRPr="00651820">
        <w:rPr>
          <w:rFonts w:eastAsia="Times New Roman"/>
          <w:color w:val="auto"/>
          <w:lang w:val="en-GB" w:eastAsia="sk-SK"/>
        </w:rPr>
        <w:t xml:space="preserve"> </w:t>
      </w:r>
      <w:r w:rsidR="00985833">
        <w:rPr>
          <w:rFonts w:eastAsia="Times New Roman"/>
          <w:color w:val="auto"/>
          <w:lang w:val="en-GB" w:eastAsia="sk-SK"/>
        </w:rPr>
        <w:t>their</w:t>
      </w:r>
      <w:r w:rsidR="00651820" w:rsidRPr="00651820">
        <w:rPr>
          <w:rFonts w:eastAsia="Times New Roman"/>
          <w:color w:val="auto"/>
          <w:lang w:val="en-GB" w:eastAsia="sk-SK"/>
        </w:rPr>
        <w:t xml:space="preserve"> response</w:t>
      </w:r>
      <w:r w:rsidR="00985833">
        <w:rPr>
          <w:rFonts w:eastAsia="Times New Roman"/>
          <w:color w:val="auto"/>
          <w:lang w:val="en-GB" w:eastAsia="sk-SK"/>
        </w:rPr>
        <w:t>s</w:t>
      </w:r>
      <w:r w:rsidR="00651820" w:rsidRPr="00651820">
        <w:rPr>
          <w:rFonts w:eastAsia="Times New Roman"/>
          <w:color w:val="auto"/>
          <w:lang w:val="en-GB" w:eastAsia="sk-SK"/>
        </w:rPr>
        <w:t xml:space="preserve"> confidential</w:t>
      </w:r>
      <w:r w:rsidR="00375F00">
        <w:rPr>
          <w:rFonts w:eastAsia="Times New Roman"/>
          <w:color w:val="auto"/>
          <w:lang w:val="en-GB" w:eastAsia="sk-SK"/>
        </w:rPr>
        <w:t>.</w:t>
      </w:r>
      <w:r w:rsidR="00651820" w:rsidRPr="00651820">
        <w:rPr>
          <w:rFonts w:eastAsia="Times New Roman"/>
          <w:color w:val="auto"/>
          <w:lang w:val="en-GB" w:eastAsia="sk-SK"/>
        </w:rPr>
        <w:t xml:space="preserve"> I</w:t>
      </w:r>
      <w:r w:rsidR="00A842CA">
        <w:rPr>
          <w:rFonts w:eastAsia="Times New Roman"/>
          <w:color w:val="auto"/>
          <w:lang w:val="en-GB" w:eastAsia="sk-SK"/>
        </w:rPr>
        <w:t>n</w:t>
      </w:r>
      <w:r w:rsidR="00651820" w:rsidRPr="00651820">
        <w:rPr>
          <w:rFonts w:eastAsia="Times New Roman"/>
          <w:color w:val="auto"/>
          <w:lang w:val="en-GB" w:eastAsia="sk-SK"/>
        </w:rPr>
        <w:t xml:space="preserve"> </w:t>
      </w:r>
      <w:r w:rsidR="00A842CA">
        <w:rPr>
          <w:rFonts w:eastAsia="Times New Roman"/>
          <w:color w:val="auto"/>
          <w:lang w:val="en-GB" w:eastAsia="sk-SK"/>
        </w:rPr>
        <w:t>case of a certain</w:t>
      </w:r>
      <w:r w:rsidR="00651820" w:rsidRPr="00651820">
        <w:rPr>
          <w:rFonts w:eastAsia="Times New Roman"/>
          <w:color w:val="auto"/>
          <w:lang w:val="en-GB" w:eastAsia="sk-SK"/>
        </w:rPr>
        <w:t xml:space="preserve"> response </w:t>
      </w:r>
      <w:r w:rsidR="00A842CA">
        <w:rPr>
          <w:rFonts w:eastAsia="Times New Roman"/>
          <w:color w:val="auto"/>
          <w:lang w:val="en-GB" w:eastAsia="sk-SK"/>
        </w:rPr>
        <w:t xml:space="preserve">to be kept </w:t>
      </w:r>
      <w:r w:rsidR="00651820" w:rsidRPr="00651820">
        <w:rPr>
          <w:rFonts w:eastAsia="Times New Roman"/>
          <w:color w:val="auto"/>
          <w:lang w:val="en-GB" w:eastAsia="sk-SK"/>
        </w:rPr>
        <w:t xml:space="preserve">confidential, </w:t>
      </w:r>
      <w:r w:rsidR="00A842CA">
        <w:rPr>
          <w:rFonts w:eastAsia="Times New Roman"/>
          <w:color w:val="auto"/>
          <w:lang w:val="en-GB" w:eastAsia="sk-SK"/>
        </w:rPr>
        <w:t>it</w:t>
      </w:r>
      <w:r w:rsidR="00651820" w:rsidRPr="00651820">
        <w:rPr>
          <w:rFonts w:eastAsia="Times New Roman"/>
          <w:color w:val="auto"/>
          <w:lang w:val="en-GB" w:eastAsia="sk-SK"/>
        </w:rPr>
        <w:t xml:space="preserve"> should </w:t>
      </w:r>
      <w:r w:rsidR="00A842CA">
        <w:rPr>
          <w:rFonts w:eastAsia="Times New Roman"/>
          <w:color w:val="auto"/>
          <w:lang w:val="en-GB" w:eastAsia="sk-SK"/>
        </w:rPr>
        <w:t xml:space="preserve">be </w:t>
      </w:r>
      <w:r w:rsidR="00651820" w:rsidRPr="00651820">
        <w:rPr>
          <w:rFonts w:eastAsia="Times New Roman"/>
          <w:color w:val="auto"/>
          <w:lang w:val="en-GB" w:eastAsia="sk-SK"/>
        </w:rPr>
        <w:t>clearly mark</w:t>
      </w:r>
      <w:r w:rsidR="00A842CA">
        <w:rPr>
          <w:rFonts w:eastAsia="Times New Roman"/>
          <w:color w:val="auto"/>
          <w:lang w:val="en-GB" w:eastAsia="sk-SK"/>
        </w:rPr>
        <w:t>ed</w:t>
      </w:r>
      <w:r w:rsidR="00651820" w:rsidRPr="00651820">
        <w:rPr>
          <w:rFonts w:eastAsia="Times New Roman"/>
          <w:color w:val="auto"/>
          <w:lang w:val="en-GB" w:eastAsia="sk-SK"/>
        </w:rPr>
        <w:t xml:space="preserve"> to that effect and include reasons. </w:t>
      </w:r>
    </w:p>
    <w:p w14:paraId="0845312B" w14:textId="77777777" w:rsidR="00064E4D" w:rsidRDefault="00064E4D" w:rsidP="00375F00">
      <w:pPr>
        <w:pStyle w:val="Default"/>
        <w:jc w:val="both"/>
        <w:rPr>
          <w:rFonts w:eastAsia="Times New Roman"/>
          <w:color w:val="auto"/>
          <w:lang w:val="en-GB" w:eastAsia="sk-SK"/>
        </w:rPr>
      </w:pPr>
    </w:p>
    <w:p w14:paraId="617C0188" w14:textId="2FBE6437" w:rsidR="00064E4D" w:rsidRDefault="00064E4D" w:rsidP="00375F00">
      <w:pPr>
        <w:pStyle w:val="Default"/>
        <w:jc w:val="both"/>
        <w:rPr>
          <w:rFonts w:eastAsia="Times New Roman"/>
          <w:color w:val="auto"/>
          <w:lang w:val="en-GB" w:eastAsia="sk-SK"/>
        </w:rPr>
      </w:pPr>
      <w:r>
        <w:rPr>
          <w:rFonts w:eastAsia="Times New Roman"/>
          <w:color w:val="auto"/>
          <w:lang w:val="en-GB" w:eastAsia="sk-SK"/>
        </w:rPr>
        <w:t xml:space="preserve">This document is published in Slovak </w:t>
      </w:r>
      <w:r w:rsidR="00CD6D4D">
        <w:rPr>
          <w:rFonts w:eastAsia="Times New Roman"/>
          <w:color w:val="auto"/>
          <w:lang w:val="en-GB" w:eastAsia="sk-SK"/>
        </w:rPr>
        <w:t>as well as</w:t>
      </w:r>
      <w:r>
        <w:rPr>
          <w:rFonts w:eastAsia="Times New Roman"/>
          <w:color w:val="auto"/>
          <w:lang w:val="en-GB" w:eastAsia="sk-SK"/>
        </w:rPr>
        <w:t xml:space="preserve"> English </w:t>
      </w:r>
      <w:r w:rsidR="00951803">
        <w:rPr>
          <w:rFonts w:eastAsia="Times New Roman"/>
          <w:color w:val="auto"/>
          <w:lang w:val="en-GB" w:eastAsia="sk-SK"/>
        </w:rPr>
        <w:t xml:space="preserve">language </w:t>
      </w:r>
      <w:r>
        <w:rPr>
          <w:rFonts w:eastAsia="Times New Roman"/>
          <w:color w:val="auto"/>
          <w:lang w:val="en-GB" w:eastAsia="sk-SK"/>
        </w:rPr>
        <w:t xml:space="preserve">version. In case of </w:t>
      </w:r>
      <w:r w:rsidR="0036499E">
        <w:rPr>
          <w:rFonts w:eastAsia="Times New Roman"/>
          <w:color w:val="auto"/>
          <w:lang w:val="en-GB" w:eastAsia="sk-SK"/>
        </w:rPr>
        <w:t>different interpretations</w:t>
      </w:r>
      <w:r>
        <w:rPr>
          <w:rFonts w:eastAsia="Times New Roman"/>
          <w:color w:val="auto"/>
          <w:lang w:val="en-GB" w:eastAsia="sk-SK"/>
        </w:rPr>
        <w:t xml:space="preserve">, the </w:t>
      </w:r>
      <w:r w:rsidR="006E5A25">
        <w:rPr>
          <w:rFonts w:eastAsia="Times New Roman"/>
          <w:color w:val="auto"/>
          <w:lang w:val="en-GB" w:eastAsia="sk-SK"/>
        </w:rPr>
        <w:t>Slovak</w:t>
      </w:r>
      <w:r>
        <w:rPr>
          <w:rFonts w:eastAsia="Times New Roman"/>
          <w:color w:val="auto"/>
          <w:lang w:val="en-GB" w:eastAsia="sk-SK"/>
        </w:rPr>
        <w:t xml:space="preserve"> version </w:t>
      </w:r>
      <w:r w:rsidR="004D4937">
        <w:rPr>
          <w:rFonts w:eastAsia="Times New Roman"/>
          <w:color w:val="auto"/>
          <w:lang w:val="en-GB" w:eastAsia="sk-SK"/>
        </w:rPr>
        <w:t xml:space="preserve">will </w:t>
      </w:r>
      <w:r>
        <w:rPr>
          <w:rFonts w:eastAsia="Times New Roman"/>
          <w:color w:val="auto"/>
          <w:lang w:val="en-GB" w:eastAsia="sk-SK"/>
        </w:rPr>
        <w:t>prevail.</w:t>
      </w:r>
    </w:p>
    <w:p w14:paraId="172482D6" w14:textId="77777777" w:rsidR="00375F00" w:rsidRPr="00651820" w:rsidRDefault="00375F00" w:rsidP="00375F00">
      <w:pPr>
        <w:pStyle w:val="Default"/>
        <w:jc w:val="both"/>
        <w:rPr>
          <w:rFonts w:eastAsia="Times New Roman"/>
          <w:color w:val="auto"/>
          <w:lang w:val="en-GB" w:eastAsia="sk-SK"/>
        </w:rPr>
      </w:pPr>
    </w:p>
    <w:p w14:paraId="6EBC0895" w14:textId="3617533E" w:rsidR="005039E6" w:rsidRDefault="003F7083" w:rsidP="00D14591">
      <w:pPr>
        <w:jc w:val="both"/>
        <w:rPr>
          <w:lang w:val="en-GB"/>
        </w:rPr>
      </w:pPr>
      <w:r>
        <w:rPr>
          <w:lang w:val="en-GB"/>
        </w:rPr>
        <w:t>In order to avoid any doubts, t</w:t>
      </w:r>
      <w:r w:rsidR="00D14591" w:rsidRPr="00D14591">
        <w:rPr>
          <w:lang w:val="en-GB"/>
        </w:rPr>
        <w:t xml:space="preserve">he Office </w:t>
      </w:r>
      <w:r w:rsidR="00194086">
        <w:rPr>
          <w:lang w:val="en-GB"/>
        </w:rPr>
        <w:t>fulfils</w:t>
      </w:r>
      <w:r w:rsidR="00294007">
        <w:rPr>
          <w:lang w:val="en-GB"/>
        </w:rPr>
        <w:t xml:space="preserve"> and </w:t>
      </w:r>
      <w:r w:rsidR="00D14591" w:rsidRPr="00D14591">
        <w:rPr>
          <w:lang w:val="en-GB"/>
        </w:rPr>
        <w:t>follows the GDPR requirements. For more information</w:t>
      </w:r>
      <w:r w:rsidR="004D4937">
        <w:rPr>
          <w:lang w:val="en-GB"/>
        </w:rPr>
        <w:t>,</w:t>
      </w:r>
      <w:r w:rsidR="00D14591" w:rsidRPr="00D14591">
        <w:rPr>
          <w:lang w:val="en-GB"/>
        </w:rPr>
        <w:t xml:space="preserve"> please visit the website of the Office</w:t>
      </w:r>
      <w:r w:rsidR="0000422B">
        <w:rPr>
          <w:lang w:val="en-GB"/>
        </w:rPr>
        <w:t xml:space="preserve"> </w:t>
      </w:r>
      <w:hyperlink r:id="rId12" w:history="1">
        <w:r w:rsidR="0000422B" w:rsidRPr="0090643F">
          <w:rPr>
            <w:rStyle w:val="Hypertextovprepojenie"/>
            <w:lang w:val="en-GB"/>
          </w:rPr>
          <w:t>www.urso.gov.sk</w:t>
        </w:r>
      </w:hyperlink>
      <w:r w:rsidR="0000422B">
        <w:rPr>
          <w:lang w:val="en-GB"/>
        </w:rPr>
        <w:t>.</w:t>
      </w:r>
    </w:p>
    <w:p w14:paraId="486517B4" w14:textId="77777777" w:rsidR="0000422B" w:rsidRPr="00D14591" w:rsidRDefault="0000422B" w:rsidP="00D14591">
      <w:pPr>
        <w:jc w:val="both"/>
        <w:rPr>
          <w:lang w:val="en-GB"/>
        </w:rPr>
      </w:pPr>
    </w:p>
    <w:p w14:paraId="3EA228DA" w14:textId="77777777" w:rsidR="005039E6" w:rsidRDefault="005039E6" w:rsidP="00375F00">
      <w:pPr>
        <w:jc w:val="both"/>
        <w:rPr>
          <w:lang w:val="en-GB"/>
        </w:rPr>
      </w:pPr>
    </w:p>
    <w:p w14:paraId="1DBE6FDA" w14:textId="6C1138F5" w:rsidR="00F22D1F" w:rsidRPr="00FB7191" w:rsidRDefault="00F22D1F" w:rsidP="00FB7191">
      <w:pPr>
        <w:pStyle w:val="Odsekzoznamu"/>
        <w:numPr>
          <w:ilvl w:val="0"/>
          <w:numId w:val="3"/>
        </w:numPr>
        <w:jc w:val="both"/>
        <w:rPr>
          <w:b/>
          <w:lang w:val="en-GB"/>
        </w:rPr>
      </w:pPr>
      <w:r w:rsidRPr="00FB7191">
        <w:rPr>
          <w:b/>
          <w:lang w:val="en-GB"/>
        </w:rPr>
        <w:t xml:space="preserve">Next steps </w:t>
      </w:r>
    </w:p>
    <w:p w14:paraId="2DD5B412" w14:textId="77777777" w:rsidR="00F22D1F" w:rsidRPr="00F22D1F" w:rsidRDefault="00F22D1F" w:rsidP="00F22D1F">
      <w:pPr>
        <w:pStyle w:val="Default"/>
        <w:rPr>
          <w:rFonts w:eastAsia="Times New Roman"/>
          <w:color w:val="auto"/>
          <w:lang w:val="en-GB" w:eastAsia="sk-SK"/>
        </w:rPr>
      </w:pPr>
    </w:p>
    <w:p w14:paraId="7A69E104" w14:textId="2ECC63BC" w:rsidR="00221335" w:rsidRDefault="00D54D76" w:rsidP="00B93E71">
      <w:pPr>
        <w:pStyle w:val="Default"/>
        <w:jc w:val="both"/>
        <w:rPr>
          <w:rFonts w:eastAsia="Times New Roman"/>
          <w:color w:val="auto"/>
          <w:lang w:val="en-GB" w:eastAsia="sk-SK"/>
        </w:rPr>
      </w:pPr>
      <w:r>
        <w:rPr>
          <w:rFonts w:eastAsia="Times New Roman"/>
          <w:color w:val="auto"/>
          <w:lang w:val="en-GB" w:eastAsia="sk-SK"/>
        </w:rPr>
        <w:t xml:space="preserve">After the </w:t>
      </w:r>
      <w:r w:rsidR="009D0EF5">
        <w:rPr>
          <w:rFonts w:eastAsia="Times New Roman"/>
          <w:color w:val="auto"/>
          <w:lang w:val="en-GB" w:eastAsia="sk-SK"/>
        </w:rPr>
        <w:t>conclusion</w:t>
      </w:r>
      <w:r>
        <w:rPr>
          <w:rFonts w:eastAsia="Times New Roman"/>
          <w:color w:val="auto"/>
          <w:lang w:val="en-GB" w:eastAsia="sk-SK"/>
        </w:rPr>
        <w:t xml:space="preserve"> of th</w:t>
      </w:r>
      <w:r w:rsidR="009D0EF5">
        <w:rPr>
          <w:rFonts w:eastAsia="Times New Roman"/>
          <w:color w:val="auto"/>
          <w:lang w:val="en-GB" w:eastAsia="sk-SK"/>
        </w:rPr>
        <w:t>e</w:t>
      </w:r>
      <w:r>
        <w:rPr>
          <w:rFonts w:eastAsia="Times New Roman"/>
          <w:color w:val="auto"/>
          <w:lang w:val="en-GB" w:eastAsia="sk-SK"/>
        </w:rPr>
        <w:t xml:space="preserve"> Consultation</w:t>
      </w:r>
      <w:r w:rsidR="007D4C4E">
        <w:rPr>
          <w:rFonts w:eastAsia="Times New Roman"/>
          <w:color w:val="auto"/>
          <w:lang w:val="en-GB" w:eastAsia="sk-SK"/>
        </w:rPr>
        <w:t>,</w:t>
      </w:r>
      <w:r w:rsidR="00F274EB">
        <w:rPr>
          <w:rFonts w:eastAsia="Times New Roman"/>
          <w:color w:val="auto"/>
          <w:lang w:val="en-GB" w:eastAsia="sk-SK"/>
        </w:rPr>
        <w:t xml:space="preserve"> the Office will carry out a detailed</w:t>
      </w:r>
      <w:r w:rsidR="007D4C4E">
        <w:rPr>
          <w:rFonts w:eastAsia="Times New Roman"/>
          <w:color w:val="auto"/>
          <w:lang w:val="en-GB" w:eastAsia="sk-SK"/>
        </w:rPr>
        <w:t xml:space="preserve"> evaluation </w:t>
      </w:r>
      <w:r w:rsidR="00F274EB">
        <w:rPr>
          <w:rFonts w:eastAsia="Times New Roman"/>
          <w:color w:val="auto"/>
          <w:lang w:val="en-GB" w:eastAsia="sk-SK"/>
        </w:rPr>
        <w:t>of the responses received during the Consultation</w:t>
      </w:r>
      <w:r w:rsidR="00EB537B">
        <w:rPr>
          <w:rFonts w:eastAsia="Times New Roman"/>
          <w:color w:val="auto"/>
          <w:lang w:val="en-GB" w:eastAsia="sk-SK"/>
        </w:rPr>
        <w:t>.</w:t>
      </w:r>
      <w:r>
        <w:rPr>
          <w:rFonts w:eastAsia="Times New Roman"/>
          <w:color w:val="auto"/>
          <w:lang w:val="en-GB" w:eastAsia="sk-SK"/>
        </w:rPr>
        <w:t xml:space="preserve"> </w:t>
      </w:r>
      <w:r w:rsidR="00F274EB" w:rsidRPr="00F274EB">
        <w:rPr>
          <w:rFonts w:eastAsia="Times New Roman"/>
          <w:color w:val="auto"/>
          <w:lang w:val="en-GB" w:eastAsia="sk-SK"/>
        </w:rPr>
        <w:t>Subsequently</w:t>
      </w:r>
      <w:r w:rsidR="00F274EB">
        <w:rPr>
          <w:rFonts w:eastAsia="Times New Roman"/>
          <w:color w:val="auto"/>
          <w:lang w:val="en-GB" w:eastAsia="sk-SK"/>
        </w:rPr>
        <w:t>,</w:t>
      </w:r>
      <w:r w:rsidR="00EB537B">
        <w:rPr>
          <w:rFonts w:eastAsia="Times New Roman"/>
          <w:color w:val="auto"/>
          <w:lang w:val="en-GB" w:eastAsia="sk-SK"/>
        </w:rPr>
        <w:t xml:space="preserve"> </w:t>
      </w:r>
      <w:r>
        <w:rPr>
          <w:rFonts w:eastAsia="Times New Roman"/>
          <w:color w:val="auto"/>
          <w:lang w:val="en-GB" w:eastAsia="sk-SK"/>
        </w:rPr>
        <w:t xml:space="preserve">the Office will </w:t>
      </w:r>
      <w:r w:rsidR="00F274EB">
        <w:rPr>
          <w:rFonts w:eastAsia="Times New Roman"/>
          <w:color w:val="auto"/>
          <w:lang w:val="en-GB" w:eastAsia="sk-SK"/>
        </w:rPr>
        <w:t xml:space="preserve">adopt </w:t>
      </w:r>
      <w:r>
        <w:rPr>
          <w:rFonts w:eastAsia="Times New Roman"/>
          <w:color w:val="auto"/>
          <w:lang w:val="en-GB" w:eastAsia="sk-SK"/>
        </w:rPr>
        <w:t xml:space="preserve">a </w:t>
      </w:r>
      <w:r w:rsidR="00F274EB">
        <w:rPr>
          <w:rFonts w:eastAsia="Times New Roman"/>
          <w:color w:val="auto"/>
          <w:lang w:val="en-GB" w:eastAsia="sk-SK"/>
        </w:rPr>
        <w:t>motivated</w:t>
      </w:r>
      <w:r w:rsidR="00A67E09">
        <w:rPr>
          <w:rFonts w:eastAsia="Times New Roman"/>
          <w:color w:val="auto"/>
          <w:lang w:val="en-GB" w:eastAsia="sk-SK"/>
        </w:rPr>
        <w:t xml:space="preserve"> D</w:t>
      </w:r>
      <w:r>
        <w:rPr>
          <w:rFonts w:eastAsia="Times New Roman"/>
          <w:color w:val="auto"/>
          <w:lang w:val="en-GB" w:eastAsia="sk-SK"/>
        </w:rPr>
        <w:t xml:space="preserve">ecision </w:t>
      </w:r>
      <w:r w:rsidR="00294007">
        <w:rPr>
          <w:rFonts w:eastAsia="Times New Roman"/>
          <w:color w:val="auto"/>
          <w:lang w:val="en-GB" w:eastAsia="sk-SK"/>
        </w:rPr>
        <w:t xml:space="preserve">on the aspects referred to in the Article 28(1) of the TAR NC </w:t>
      </w:r>
      <w:r>
        <w:rPr>
          <w:rFonts w:eastAsia="Times New Roman"/>
          <w:color w:val="auto"/>
          <w:lang w:val="en-GB" w:eastAsia="sk-SK"/>
        </w:rPr>
        <w:t xml:space="preserve">in accordance with the </w:t>
      </w:r>
      <w:r w:rsidR="008A01BF">
        <w:rPr>
          <w:rFonts w:eastAsia="Times New Roman"/>
          <w:color w:val="auto"/>
          <w:lang w:val="en-GB" w:eastAsia="sk-SK"/>
        </w:rPr>
        <w:t>applicable legislation</w:t>
      </w:r>
      <w:r w:rsidR="00D80BA6">
        <w:rPr>
          <w:rFonts w:eastAsia="Times New Roman"/>
          <w:color w:val="auto"/>
          <w:lang w:val="en-GB" w:eastAsia="sk-SK"/>
        </w:rPr>
        <w:t xml:space="preserve">. The Office will consider the </w:t>
      </w:r>
      <w:r w:rsidR="00F274EB">
        <w:rPr>
          <w:rFonts w:eastAsia="Times New Roman"/>
          <w:color w:val="auto"/>
          <w:lang w:val="en-GB" w:eastAsia="sk-SK"/>
        </w:rPr>
        <w:t>position</w:t>
      </w:r>
      <w:r w:rsidR="00D80BA6">
        <w:rPr>
          <w:rFonts w:eastAsia="Times New Roman"/>
          <w:color w:val="auto"/>
          <w:lang w:val="en-GB" w:eastAsia="sk-SK"/>
        </w:rPr>
        <w:t>s</w:t>
      </w:r>
      <w:r>
        <w:rPr>
          <w:rFonts w:eastAsia="Times New Roman"/>
          <w:color w:val="auto"/>
          <w:lang w:val="en-GB" w:eastAsia="sk-SK"/>
        </w:rPr>
        <w:t xml:space="preserve"> of the </w:t>
      </w:r>
      <w:r w:rsidR="00B14DAB" w:rsidRPr="00B14DAB">
        <w:rPr>
          <w:rFonts w:eastAsia="Times New Roman"/>
          <w:color w:val="auto"/>
          <w:lang w:val="en-GB" w:eastAsia="sk-SK"/>
        </w:rPr>
        <w:t>national regulatory authorities</w:t>
      </w:r>
      <w:r>
        <w:rPr>
          <w:rFonts w:eastAsia="Times New Roman"/>
          <w:color w:val="auto"/>
          <w:lang w:val="en-GB" w:eastAsia="sk-SK"/>
        </w:rPr>
        <w:t xml:space="preserve"> of the directly connected Member States </w:t>
      </w:r>
      <w:r w:rsidR="0025095D">
        <w:rPr>
          <w:rFonts w:eastAsia="Times New Roman"/>
          <w:color w:val="auto"/>
          <w:lang w:val="en-GB" w:eastAsia="sk-SK"/>
        </w:rPr>
        <w:t xml:space="preserve">with the Slovak Republic </w:t>
      </w:r>
      <w:r>
        <w:rPr>
          <w:rFonts w:eastAsia="Times New Roman"/>
          <w:color w:val="auto"/>
          <w:lang w:val="en-GB" w:eastAsia="sk-SK"/>
        </w:rPr>
        <w:t xml:space="preserve">as well as </w:t>
      </w:r>
      <w:r w:rsidR="00F274EB">
        <w:rPr>
          <w:rFonts w:eastAsia="Times New Roman"/>
          <w:color w:val="auto"/>
          <w:lang w:val="en-GB" w:eastAsia="sk-SK"/>
        </w:rPr>
        <w:t xml:space="preserve">the responses received from </w:t>
      </w:r>
      <w:r>
        <w:rPr>
          <w:rFonts w:eastAsia="Times New Roman"/>
          <w:color w:val="auto"/>
          <w:lang w:val="en-GB" w:eastAsia="sk-SK"/>
        </w:rPr>
        <w:t xml:space="preserve">other relevant stakeholders prior to the issuance of </w:t>
      </w:r>
      <w:r w:rsidR="0004176B">
        <w:rPr>
          <w:rFonts w:eastAsia="Times New Roman"/>
          <w:color w:val="auto"/>
          <w:lang w:val="en-GB" w:eastAsia="sk-SK"/>
        </w:rPr>
        <w:t xml:space="preserve">the </w:t>
      </w:r>
      <w:r>
        <w:rPr>
          <w:rFonts w:eastAsia="Times New Roman"/>
          <w:color w:val="auto"/>
          <w:lang w:val="en-GB" w:eastAsia="sk-SK"/>
        </w:rPr>
        <w:t xml:space="preserve">Decision. When adopting </w:t>
      </w:r>
      <w:r w:rsidR="00221335">
        <w:rPr>
          <w:rFonts w:eastAsia="Times New Roman"/>
          <w:color w:val="auto"/>
          <w:lang w:val="en-GB" w:eastAsia="sk-SK"/>
        </w:rPr>
        <w:t xml:space="preserve">the </w:t>
      </w:r>
      <w:r>
        <w:rPr>
          <w:rFonts w:eastAsia="Times New Roman"/>
          <w:color w:val="auto"/>
          <w:lang w:val="en-GB" w:eastAsia="sk-SK"/>
        </w:rPr>
        <w:t xml:space="preserve">Decision, the </w:t>
      </w:r>
      <w:r w:rsidR="007D4C4E">
        <w:rPr>
          <w:rFonts w:eastAsia="Times New Roman"/>
          <w:color w:val="auto"/>
          <w:lang w:val="en-GB" w:eastAsia="sk-SK"/>
        </w:rPr>
        <w:t>O</w:t>
      </w:r>
      <w:r>
        <w:rPr>
          <w:rFonts w:eastAsia="Times New Roman"/>
          <w:color w:val="auto"/>
          <w:lang w:val="en-GB" w:eastAsia="sk-SK"/>
        </w:rPr>
        <w:t xml:space="preserve">ffice will take </w:t>
      </w:r>
      <w:r w:rsidR="007D4C4E">
        <w:rPr>
          <w:rFonts w:eastAsia="Times New Roman"/>
          <w:color w:val="auto"/>
          <w:lang w:val="en-GB" w:eastAsia="sk-SK"/>
        </w:rPr>
        <w:t>into</w:t>
      </w:r>
      <w:r>
        <w:rPr>
          <w:rFonts w:eastAsia="Times New Roman"/>
          <w:color w:val="auto"/>
          <w:lang w:val="en-GB" w:eastAsia="sk-SK"/>
        </w:rPr>
        <w:t xml:space="preserve"> account </w:t>
      </w:r>
      <w:r w:rsidR="007D4C4E">
        <w:rPr>
          <w:rFonts w:eastAsia="Times New Roman"/>
          <w:color w:val="auto"/>
          <w:lang w:val="en-GB" w:eastAsia="sk-SK"/>
        </w:rPr>
        <w:t xml:space="preserve">all </w:t>
      </w:r>
      <w:r w:rsidR="00CF1545">
        <w:rPr>
          <w:rFonts w:eastAsia="Times New Roman"/>
          <w:color w:val="auto"/>
          <w:lang w:val="en-GB" w:eastAsia="sk-SK"/>
        </w:rPr>
        <w:t xml:space="preserve">relevant </w:t>
      </w:r>
      <w:r w:rsidR="007D4C4E">
        <w:rPr>
          <w:rFonts w:eastAsia="Times New Roman"/>
          <w:color w:val="auto"/>
          <w:lang w:val="en-GB" w:eastAsia="sk-SK"/>
        </w:rPr>
        <w:t xml:space="preserve">aspects </w:t>
      </w:r>
      <w:r w:rsidR="00F274EB">
        <w:rPr>
          <w:rFonts w:eastAsia="Times New Roman"/>
          <w:color w:val="auto"/>
          <w:lang w:val="en-GB" w:eastAsia="sk-SK"/>
        </w:rPr>
        <w:t>listed</w:t>
      </w:r>
      <w:r w:rsidR="007D4C4E">
        <w:rPr>
          <w:rFonts w:eastAsia="Times New Roman"/>
          <w:color w:val="auto"/>
          <w:lang w:val="en-GB" w:eastAsia="sk-SK"/>
        </w:rPr>
        <w:t xml:space="preserve"> in Article 28(3)</w:t>
      </w:r>
      <w:r w:rsidR="001E7362">
        <w:rPr>
          <w:rFonts w:eastAsia="Times New Roman"/>
          <w:color w:val="auto"/>
          <w:lang w:val="en-GB" w:eastAsia="sk-SK"/>
        </w:rPr>
        <w:t xml:space="preserve"> </w:t>
      </w:r>
      <w:r w:rsidR="006F142C">
        <w:rPr>
          <w:rFonts w:eastAsia="Times New Roman"/>
          <w:color w:val="auto"/>
          <w:lang w:val="en-GB" w:eastAsia="sk-SK"/>
        </w:rPr>
        <w:t xml:space="preserve">of the </w:t>
      </w:r>
      <w:r w:rsidR="001E7362">
        <w:rPr>
          <w:rFonts w:eastAsia="Times New Roman"/>
          <w:color w:val="auto"/>
          <w:lang w:val="en-GB" w:eastAsia="sk-SK"/>
        </w:rPr>
        <w:t>TAR NC</w:t>
      </w:r>
      <w:r w:rsidR="007D4C4E">
        <w:rPr>
          <w:rFonts w:eastAsia="Times New Roman"/>
          <w:color w:val="auto"/>
          <w:lang w:val="en-GB" w:eastAsia="sk-SK"/>
        </w:rPr>
        <w:t xml:space="preserve">. </w:t>
      </w:r>
      <w:r>
        <w:rPr>
          <w:rFonts w:eastAsia="Times New Roman"/>
          <w:color w:val="auto"/>
          <w:lang w:val="en-GB" w:eastAsia="sk-SK"/>
        </w:rPr>
        <w:t xml:space="preserve"> </w:t>
      </w:r>
    </w:p>
    <w:sectPr w:rsidR="00221335">
      <w:footerReference w:type="default" r:id="rId13"/>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864DC0" w16cex:dateUtc="2025-09-30T10:38:00Z"/>
  <w16cex:commentExtensible w16cex:durableId="2C865632" w16cex:dateUtc="2025-09-30T11:1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C61818" w14:textId="77777777" w:rsidR="00A13677" w:rsidRDefault="00A13677" w:rsidP="007D1DE2">
      <w:r>
        <w:separator/>
      </w:r>
    </w:p>
  </w:endnote>
  <w:endnote w:type="continuationSeparator" w:id="0">
    <w:p w14:paraId="4E0BF8D4" w14:textId="77777777" w:rsidR="00A13677" w:rsidRDefault="00A13677" w:rsidP="007D1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n-GB"/>
      </w:rPr>
      <w:id w:val="-1235390537"/>
      <w:docPartObj>
        <w:docPartGallery w:val="Page Numbers (Bottom of Page)"/>
        <w:docPartUnique/>
      </w:docPartObj>
    </w:sdtPr>
    <w:sdtEndPr/>
    <w:sdtContent>
      <w:sdt>
        <w:sdtPr>
          <w:rPr>
            <w:lang w:val="en-GB"/>
          </w:rPr>
          <w:id w:val="-1769616900"/>
          <w:docPartObj>
            <w:docPartGallery w:val="Page Numbers (Top of Page)"/>
            <w:docPartUnique/>
          </w:docPartObj>
        </w:sdtPr>
        <w:sdtEndPr/>
        <w:sdtContent>
          <w:p w14:paraId="3D123408" w14:textId="2E0CFBC3" w:rsidR="003D2AC6" w:rsidRPr="00C66FA6" w:rsidRDefault="003D2AC6">
            <w:pPr>
              <w:pStyle w:val="Pta"/>
              <w:jc w:val="right"/>
              <w:rPr>
                <w:lang w:val="en-GB"/>
              </w:rPr>
            </w:pPr>
            <w:r w:rsidRPr="00C66FA6">
              <w:rPr>
                <w:lang w:val="en-GB"/>
              </w:rPr>
              <w:t xml:space="preserve">Page </w:t>
            </w:r>
            <w:r w:rsidRPr="00C66FA6">
              <w:rPr>
                <w:bCs/>
                <w:lang w:val="en-GB"/>
              </w:rPr>
              <w:fldChar w:fldCharType="begin"/>
            </w:r>
            <w:r w:rsidRPr="00C66FA6">
              <w:rPr>
                <w:bCs/>
                <w:lang w:val="en-GB"/>
              </w:rPr>
              <w:instrText>PAGE</w:instrText>
            </w:r>
            <w:r w:rsidRPr="00C66FA6">
              <w:rPr>
                <w:bCs/>
                <w:lang w:val="en-GB"/>
              </w:rPr>
              <w:fldChar w:fldCharType="separate"/>
            </w:r>
            <w:r w:rsidR="00F319CA">
              <w:rPr>
                <w:bCs/>
                <w:noProof/>
                <w:lang w:val="en-GB"/>
              </w:rPr>
              <w:t>6</w:t>
            </w:r>
            <w:r w:rsidRPr="00C66FA6">
              <w:rPr>
                <w:bCs/>
                <w:lang w:val="en-GB"/>
              </w:rPr>
              <w:fldChar w:fldCharType="end"/>
            </w:r>
            <w:r w:rsidRPr="00C66FA6">
              <w:rPr>
                <w:lang w:val="en-GB"/>
              </w:rPr>
              <w:t xml:space="preserve"> of </w:t>
            </w:r>
            <w:r w:rsidRPr="00C66FA6">
              <w:rPr>
                <w:bCs/>
                <w:lang w:val="en-GB"/>
              </w:rPr>
              <w:fldChar w:fldCharType="begin"/>
            </w:r>
            <w:r w:rsidRPr="00C66FA6">
              <w:rPr>
                <w:bCs/>
                <w:lang w:val="en-GB"/>
              </w:rPr>
              <w:instrText>NUMPAGES</w:instrText>
            </w:r>
            <w:r w:rsidRPr="00C66FA6">
              <w:rPr>
                <w:bCs/>
                <w:lang w:val="en-GB"/>
              </w:rPr>
              <w:fldChar w:fldCharType="separate"/>
            </w:r>
            <w:r w:rsidR="00F319CA">
              <w:rPr>
                <w:bCs/>
                <w:noProof/>
                <w:lang w:val="en-GB"/>
              </w:rPr>
              <w:t>8</w:t>
            </w:r>
            <w:r w:rsidRPr="00C66FA6">
              <w:rPr>
                <w:bCs/>
                <w:lang w:val="en-GB"/>
              </w:rPr>
              <w:fldChar w:fldCharType="end"/>
            </w:r>
          </w:p>
        </w:sdtContent>
      </w:sdt>
    </w:sdtContent>
  </w:sdt>
  <w:p w14:paraId="7E62DDEF" w14:textId="77777777" w:rsidR="003D2AC6" w:rsidRDefault="003D2AC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AEA1A3" w14:textId="77777777" w:rsidR="00A13677" w:rsidRDefault="00A13677" w:rsidP="007D1DE2">
      <w:r>
        <w:separator/>
      </w:r>
    </w:p>
  </w:footnote>
  <w:footnote w:type="continuationSeparator" w:id="0">
    <w:p w14:paraId="0B238C8B" w14:textId="77777777" w:rsidR="00A13677" w:rsidRDefault="00A13677" w:rsidP="007D1DE2">
      <w:r>
        <w:continuationSeparator/>
      </w:r>
    </w:p>
  </w:footnote>
  <w:footnote w:id="1">
    <w:p w14:paraId="6BEAF3E7" w14:textId="53EAE3BA" w:rsidR="003D2AC6" w:rsidRPr="008F06BF" w:rsidRDefault="003D2AC6" w:rsidP="001F10C6">
      <w:pPr>
        <w:pStyle w:val="Textpoznmkypodiarou"/>
        <w:jc w:val="both"/>
        <w:rPr>
          <w:lang w:val="en-GB"/>
        </w:rPr>
      </w:pPr>
      <w:r>
        <w:rPr>
          <w:rStyle w:val="Odkaznapoznmkupodiarou"/>
        </w:rPr>
        <w:footnoteRef/>
      </w:r>
      <w:r>
        <w:t xml:space="preserve"> </w:t>
      </w:r>
      <w:r w:rsidRPr="008F06BF">
        <w:rPr>
          <w:lang w:val="en-GB"/>
        </w:rPr>
        <w:t>Commission Regulation (EU) 2017/460 of 16 March 2017 establishing a network code on harmonised transmission tariff structures for gas</w:t>
      </w:r>
      <w:r>
        <w:rPr>
          <w:lang w:val="en-GB"/>
        </w:rPr>
        <w:t xml:space="preserve">, </w:t>
      </w:r>
      <w:r w:rsidRPr="00140ED0">
        <w:rPr>
          <w:lang w:val="en-GB"/>
        </w:rPr>
        <w:t>(OJ</w:t>
      </w:r>
      <w:r w:rsidR="009F5F55">
        <w:rPr>
          <w:lang w:val="en-GB"/>
        </w:rPr>
        <w:t xml:space="preserve"> EU,</w:t>
      </w:r>
      <w:r w:rsidRPr="00140ED0">
        <w:rPr>
          <w:lang w:val="en-GB"/>
        </w:rPr>
        <w:t xml:space="preserve"> L </w:t>
      </w:r>
      <w:r>
        <w:rPr>
          <w:lang w:val="en-GB"/>
        </w:rPr>
        <w:t>72</w:t>
      </w:r>
      <w:r w:rsidR="000F4B2C">
        <w:rPr>
          <w:lang w:val="en-GB"/>
        </w:rPr>
        <w:t>/29</w:t>
      </w:r>
      <w:r w:rsidRPr="00140ED0">
        <w:rPr>
          <w:lang w:val="en-GB"/>
        </w:rPr>
        <w:t>, 1</w:t>
      </w:r>
      <w:r>
        <w:rPr>
          <w:lang w:val="en-GB"/>
        </w:rPr>
        <w:t>7</w:t>
      </w:r>
      <w:r w:rsidRPr="00140ED0">
        <w:rPr>
          <w:lang w:val="en-GB"/>
        </w:rPr>
        <w:t>.</w:t>
      </w:r>
      <w:r>
        <w:rPr>
          <w:lang w:val="en-GB"/>
        </w:rPr>
        <w:t>3</w:t>
      </w:r>
      <w:r w:rsidRPr="00140ED0">
        <w:rPr>
          <w:lang w:val="en-GB"/>
        </w:rPr>
        <w:t>.201</w:t>
      </w:r>
      <w:r>
        <w:rPr>
          <w:lang w:val="en-GB"/>
        </w:rPr>
        <w:t>7</w:t>
      </w:r>
      <w:r w:rsidRPr="00140ED0">
        <w:rPr>
          <w:lang w:val="en-GB"/>
        </w:rPr>
        <w:t>)</w:t>
      </w:r>
      <w:r w:rsidRPr="008F06BF">
        <w:rPr>
          <w:lang w:val="en-GB"/>
        </w:rPr>
        <w:t xml:space="preserve"> </w:t>
      </w:r>
    </w:p>
    <w:p w14:paraId="2F9BD084" w14:textId="77777777" w:rsidR="003D2AC6" w:rsidRDefault="003D2AC6" w:rsidP="001F10C6">
      <w:pPr>
        <w:pStyle w:val="Textpoznmkypodiarou"/>
      </w:pPr>
    </w:p>
  </w:footnote>
  <w:footnote w:id="2">
    <w:p w14:paraId="6EDC75FE" w14:textId="77777777" w:rsidR="00472C49" w:rsidRPr="005461CB" w:rsidRDefault="00472C49" w:rsidP="00472C49">
      <w:pPr>
        <w:pStyle w:val="Textpoznmkypodiarou"/>
        <w:jc w:val="both"/>
        <w:rPr>
          <w:lang w:val="en-GB"/>
        </w:rPr>
      </w:pPr>
      <w:r w:rsidRPr="005461CB">
        <w:rPr>
          <w:rStyle w:val="Odkaznapoznmkupodiarou"/>
          <w:lang w:val="en-GB"/>
        </w:rPr>
        <w:footnoteRef/>
      </w:r>
      <w:r w:rsidRPr="005461CB">
        <w:rPr>
          <w:lang w:val="en-GB"/>
        </w:rPr>
        <w:t xml:space="preserve"> Any reference </w:t>
      </w:r>
      <w:r>
        <w:rPr>
          <w:lang w:val="en-GB"/>
        </w:rPr>
        <w:t xml:space="preserve">to </w:t>
      </w:r>
      <w:r w:rsidRPr="005461CB">
        <w:rPr>
          <w:lang w:val="en-GB"/>
        </w:rPr>
        <w:t>the Article</w:t>
      </w:r>
      <w:r>
        <w:rPr>
          <w:lang w:val="en-GB"/>
        </w:rPr>
        <w:t xml:space="preserve">(s) mentioned in this Consultation document is considered to be the Article(s) of the TAR NC.  </w:t>
      </w:r>
      <w:r w:rsidRPr="005461CB">
        <w:rPr>
          <w:lang w:val="en-GB"/>
        </w:rPr>
        <w:t xml:space="preserve"> </w:t>
      </w:r>
    </w:p>
  </w:footnote>
  <w:footnote w:id="3">
    <w:p w14:paraId="50C01C77" w14:textId="0645B3AB" w:rsidR="000241EB" w:rsidRPr="007E778C" w:rsidRDefault="000241EB" w:rsidP="007E778C">
      <w:pPr>
        <w:pStyle w:val="Textpoznmkypodiarou"/>
        <w:jc w:val="both"/>
        <w:rPr>
          <w:lang w:val="en-GB"/>
        </w:rPr>
      </w:pPr>
      <w:r w:rsidRPr="007E778C">
        <w:rPr>
          <w:rStyle w:val="Odkaznapoznmkupodiarou"/>
          <w:lang w:val="en-GB"/>
        </w:rPr>
        <w:footnoteRef/>
      </w:r>
      <w:r w:rsidRPr="007E778C">
        <w:rPr>
          <w:lang w:val="en-GB"/>
        </w:rPr>
        <w:t xml:space="preserve"> </w:t>
      </w:r>
      <w:r w:rsidR="007E778C" w:rsidRPr="007E778C">
        <w:rPr>
          <w:lang w:val="en-GB"/>
        </w:rPr>
        <w:t xml:space="preserve">Entry/exit points </w:t>
      </w:r>
      <w:proofErr w:type="spellStart"/>
      <w:r w:rsidR="007E778C" w:rsidRPr="007E778C">
        <w:rPr>
          <w:lang w:val="en-GB"/>
        </w:rPr>
        <w:t>Lanžhot</w:t>
      </w:r>
      <w:proofErr w:type="spellEnd"/>
      <w:r w:rsidR="007E778C" w:rsidRPr="007E778C">
        <w:rPr>
          <w:lang w:val="en-GB"/>
        </w:rPr>
        <w:t xml:space="preserve">, </w:t>
      </w:r>
      <w:proofErr w:type="spellStart"/>
      <w:r w:rsidR="007E778C" w:rsidRPr="007E778C">
        <w:rPr>
          <w:lang w:val="en-GB"/>
        </w:rPr>
        <w:t>Baumgarten</w:t>
      </w:r>
      <w:proofErr w:type="spellEnd"/>
      <w:r w:rsidR="007E778C" w:rsidRPr="007E778C">
        <w:rPr>
          <w:lang w:val="en-GB"/>
        </w:rPr>
        <w:t xml:space="preserve">, </w:t>
      </w:r>
      <w:proofErr w:type="spellStart"/>
      <w:r w:rsidR="007E778C" w:rsidRPr="007E778C">
        <w:rPr>
          <w:lang w:val="en-GB"/>
        </w:rPr>
        <w:t>Veľké</w:t>
      </w:r>
      <w:proofErr w:type="spellEnd"/>
      <w:r w:rsidR="007E778C" w:rsidRPr="007E778C">
        <w:rPr>
          <w:lang w:val="en-GB"/>
        </w:rPr>
        <w:t xml:space="preserve"> </w:t>
      </w:r>
      <w:proofErr w:type="spellStart"/>
      <w:r w:rsidR="007E778C" w:rsidRPr="007E778C">
        <w:rPr>
          <w:lang w:val="en-GB"/>
        </w:rPr>
        <w:t>Zlievce</w:t>
      </w:r>
      <w:proofErr w:type="spellEnd"/>
      <w:r w:rsidR="007E778C" w:rsidRPr="007E778C">
        <w:rPr>
          <w:lang w:val="en-GB"/>
        </w:rPr>
        <w:t xml:space="preserve"> and </w:t>
      </w:r>
      <w:proofErr w:type="spellStart"/>
      <w:r w:rsidR="007E778C" w:rsidRPr="007E778C">
        <w:rPr>
          <w:lang w:val="en-GB"/>
        </w:rPr>
        <w:t>Výrava</w:t>
      </w:r>
      <w:proofErr w:type="spellEnd"/>
      <w:r w:rsidR="007E778C" w:rsidRPr="007E778C">
        <w:rPr>
          <w:lang w:val="en-GB"/>
        </w:rPr>
        <w:t xml:space="preserve"> are interconnection points according to the Commission Regulation (EU) 2017/459 of 16 March 2017 establishing a network code on capacity allocation mechanisms in gas transmission systems and repealing Regulation (EU) No 984/2013 (OJ </w:t>
      </w:r>
      <w:r w:rsidR="00C10A1A">
        <w:rPr>
          <w:lang w:val="en-GB"/>
        </w:rPr>
        <w:t xml:space="preserve">EU, </w:t>
      </w:r>
      <w:r w:rsidR="007E778C" w:rsidRPr="007E778C">
        <w:rPr>
          <w:lang w:val="en-GB"/>
        </w:rPr>
        <w:t>L 72/</w:t>
      </w:r>
      <w:r w:rsidR="007E778C">
        <w:rPr>
          <w:lang w:val="en-GB"/>
        </w:rPr>
        <w:t>1</w:t>
      </w:r>
      <w:r w:rsidR="00C10A1A">
        <w:rPr>
          <w:lang w:val="en-GB"/>
        </w:rPr>
        <w:t>, 17.</w:t>
      </w:r>
      <w:r w:rsidR="007E778C" w:rsidRPr="007E778C">
        <w:rPr>
          <w:lang w:val="en-GB"/>
        </w:rPr>
        <w:t>3.2017</w:t>
      </w:r>
      <w:r w:rsidR="007E778C">
        <w:rPr>
          <w:lang w:val="en-GB"/>
        </w:rPr>
        <w:t>)</w:t>
      </w:r>
      <w:r w:rsidR="007E778C" w:rsidRPr="007E778C">
        <w:rPr>
          <w:lang w:val="en-GB"/>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256F8"/>
    <w:multiLevelType w:val="hybridMultilevel"/>
    <w:tmpl w:val="B36CEC50"/>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7F428E"/>
    <w:multiLevelType w:val="hybridMultilevel"/>
    <w:tmpl w:val="AA68F67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33E6402"/>
    <w:multiLevelType w:val="hybridMultilevel"/>
    <w:tmpl w:val="CB8E7BA0"/>
    <w:lvl w:ilvl="0" w:tplc="DB0E44E8">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D0334F9"/>
    <w:multiLevelType w:val="hybridMultilevel"/>
    <w:tmpl w:val="041042D0"/>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DBD006E"/>
    <w:multiLevelType w:val="hybridMultilevel"/>
    <w:tmpl w:val="CB30A20C"/>
    <w:lvl w:ilvl="0" w:tplc="5420AED6">
      <w:start w:val="1"/>
      <w:numFmt w:val="lowerLetter"/>
      <w:lvlText w:val="%1)"/>
      <w:lvlJc w:val="left"/>
      <w:pPr>
        <w:ind w:left="720" w:hanging="360"/>
      </w:pPr>
      <w:rPr>
        <w:rFonts w:ascii="Times New Roman" w:eastAsiaTheme="minorHAnsi"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E375EDF"/>
    <w:multiLevelType w:val="hybridMultilevel"/>
    <w:tmpl w:val="C32C0DF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ED91C05"/>
    <w:multiLevelType w:val="hybridMultilevel"/>
    <w:tmpl w:val="40B252CA"/>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F4C53F0"/>
    <w:multiLevelType w:val="hybridMultilevel"/>
    <w:tmpl w:val="E8BC3BCE"/>
    <w:lvl w:ilvl="0" w:tplc="041B000B">
      <w:start w:val="1"/>
      <w:numFmt w:val="bullet"/>
      <w:lvlText w:val=""/>
      <w:lvlJc w:val="left"/>
      <w:pPr>
        <w:ind w:left="720" w:hanging="360"/>
      </w:pPr>
      <w:rPr>
        <w:rFonts w:ascii="Wingdings" w:hAnsi="Wingding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5421527"/>
    <w:multiLevelType w:val="hybridMultilevel"/>
    <w:tmpl w:val="5316DC9E"/>
    <w:lvl w:ilvl="0" w:tplc="E4984FA8">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6652EC5"/>
    <w:multiLevelType w:val="hybridMultilevel"/>
    <w:tmpl w:val="FD2E5F0E"/>
    <w:lvl w:ilvl="0" w:tplc="041B001B">
      <w:start w:val="1"/>
      <w:numFmt w:val="lowerRoman"/>
      <w:lvlText w:val="%1."/>
      <w:lvlJc w:val="righ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75763CB"/>
    <w:multiLevelType w:val="hybridMultilevel"/>
    <w:tmpl w:val="44A497AA"/>
    <w:lvl w:ilvl="0" w:tplc="DB0E44E8">
      <w:start w:val="1"/>
      <w:numFmt w:val="lowerRoman"/>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D15086C"/>
    <w:multiLevelType w:val="hybridMultilevel"/>
    <w:tmpl w:val="5514760E"/>
    <w:lvl w:ilvl="0" w:tplc="4B92B6C0">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F031EF1"/>
    <w:multiLevelType w:val="hybridMultilevel"/>
    <w:tmpl w:val="B188404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6667E5F"/>
    <w:multiLevelType w:val="hybridMultilevel"/>
    <w:tmpl w:val="CE727126"/>
    <w:lvl w:ilvl="0" w:tplc="69AA2FDE">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BF17717"/>
    <w:multiLevelType w:val="hybridMultilevel"/>
    <w:tmpl w:val="725819BA"/>
    <w:lvl w:ilvl="0" w:tplc="3F90C68C">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63F31AD7"/>
    <w:multiLevelType w:val="hybridMultilevel"/>
    <w:tmpl w:val="5AC007F6"/>
    <w:lvl w:ilvl="0" w:tplc="54CCA2AE">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67295F8B"/>
    <w:multiLevelType w:val="hybridMultilevel"/>
    <w:tmpl w:val="D21E59BE"/>
    <w:lvl w:ilvl="0" w:tplc="D76CDB9E">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9F52D6C"/>
    <w:multiLevelType w:val="hybridMultilevel"/>
    <w:tmpl w:val="6AD4E81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E882303"/>
    <w:multiLevelType w:val="hybridMultilevel"/>
    <w:tmpl w:val="D3D4FF4A"/>
    <w:lvl w:ilvl="0" w:tplc="6B6EB5B0">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77BC3027"/>
    <w:multiLevelType w:val="hybridMultilevel"/>
    <w:tmpl w:val="7B5AA59A"/>
    <w:lvl w:ilvl="0" w:tplc="CD46B5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9CC4784"/>
    <w:multiLevelType w:val="hybridMultilevel"/>
    <w:tmpl w:val="D21E59BE"/>
    <w:lvl w:ilvl="0" w:tplc="D76CDB9E">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C300F1B"/>
    <w:multiLevelType w:val="hybridMultilevel"/>
    <w:tmpl w:val="33FCBF8C"/>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7"/>
  </w:num>
  <w:num w:numId="2">
    <w:abstractNumId w:val="19"/>
  </w:num>
  <w:num w:numId="3">
    <w:abstractNumId w:val="18"/>
  </w:num>
  <w:num w:numId="4">
    <w:abstractNumId w:val="4"/>
  </w:num>
  <w:num w:numId="5">
    <w:abstractNumId w:val="21"/>
  </w:num>
  <w:num w:numId="6">
    <w:abstractNumId w:val="12"/>
  </w:num>
  <w:num w:numId="7">
    <w:abstractNumId w:val="2"/>
  </w:num>
  <w:num w:numId="8">
    <w:abstractNumId w:val="7"/>
  </w:num>
  <w:num w:numId="9">
    <w:abstractNumId w:val="8"/>
  </w:num>
  <w:num w:numId="10">
    <w:abstractNumId w:val="9"/>
  </w:num>
  <w:num w:numId="11">
    <w:abstractNumId w:val="10"/>
  </w:num>
  <w:num w:numId="12">
    <w:abstractNumId w:val="14"/>
  </w:num>
  <w:num w:numId="13">
    <w:abstractNumId w:val="13"/>
  </w:num>
  <w:num w:numId="14">
    <w:abstractNumId w:val="16"/>
  </w:num>
  <w:num w:numId="15">
    <w:abstractNumId w:val="20"/>
  </w:num>
  <w:num w:numId="16">
    <w:abstractNumId w:val="15"/>
  </w:num>
  <w:num w:numId="17">
    <w:abstractNumId w:val="0"/>
  </w:num>
  <w:num w:numId="18">
    <w:abstractNumId w:val="11"/>
  </w:num>
  <w:num w:numId="19">
    <w:abstractNumId w:val="1"/>
  </w:num>
  <w:num w:numId="20">
    <w:abstractNumId w:val="3"/>
  </w:num>
  <w:num w:numId="21">
    <w:abstractNumId w:val="5"/>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n-GB" w:vendorID="64" w:dllVersion="6" w:nlCheck="1" w:checkStyle="1"/>
  <w:activeWritingStyle w:appName="MSWord" w:lang="de-AT" w:vendorID="64" w:dllVersion="6" w:nlCheck="1" w:checkStyle="0"/>
  <w:activeWritingStyle w:appName="MSWord" w:lang="en-GB" w:vendorID="64" w:dllVersion="4096" w:nlCheck="1" w:checkStyle="0"/>
  <w:activeWritingStyle w:appName="MSWord" w:lang="en-GB"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5BF"/>
    <w:rsid w:val="000018CE"/>
    <w:rsid w:val="0000422B"/>
    <w:rsid w:val="0000745B"/>
    <w:rsid w:val="000112F7"/>
    <w:rsid w:val="0001276D"/>
    <w:rsid w:val="0001368B"/>
    <w:rsid w:val="00013A1E"/>
    <w:rsid w:val="000162BE"/>
    <w:rsid w:val="00016824"/>
    <w:rsid w:val="00017BE5"/>
    <w:rsid w:val="0002107F"/>
    <w:rsid w:val="00023C7F"/>
    <w:rsid w:val="000241EB"/>
    <w:rsid w:val="000279AE"/>
    <w:rsid w:val="000306BD"/>
    <w:rsid w:val="00036B49"/>
    <w:rsid w:val="0004176B"/>
    <w:rsid w:val="000436B8"/>
    <w:rsid w:val="00046CE7"/>
    <w:rsid w:val="00046EF1"/>
    <w:rsid w:val="00047E0A"/>
    <w:rsid w:val="00051789"/>
    <w:rsid w:val="00053E96"/>
    <w:rsid w:val="00056C88"/>
    <w:rsid w:val="00056F8A"/>
    <w:rsid w:val="00057BAF"/>
    <w:rsid w:val="00060F34"/>
    <w:rsid w:val="00060FFA"/>
    <w:rsid w:val="00064E4D"/>
    <w:rsid w:val="000870F9"/>
    <w:rsid w:val="00090286"/>
    <w:rsid w:val="0009140A"/>
    <w:rsid w:val="00092535"/>
    <w:rsid w:val="00093482"/>
    <w:rsid w:val="00093673"/>
    <w:rsid w:val="00095E5B"/>
    <w:rsid w:val="00096F2A"/>
    <w:rsid w:val="00097B89"/>
    <w:rsid w:val="000A0F3C"/>
    <w:rsid w:val="000A1309"/>
    <w:rsid w:val="000A3709"/>
    <w:rsid w:val="000A60CB"/>
    <w:rsid w:val="000B6BA4"/>
    <w:rsid w:val="000C0094"/>
    <w:rsid w:val="000C1F97"/>
    <w:rsid w:val="000C28BC"/>
    <w:rsid w:val="000C4BEC"/>
    <w:rsid w:val="000D28A3"/>
    <w:rsid w:val="000D4D0F"/>
    <w:rsid w:val="000E49BA"/>
    <w:rsid w:val="000E4BFE"/>
    <w:rsid w:val="000E733F"/>
    <w:rsid w:val="000F076C"/>
    <w:rsid w:val="000F1BD2"/>
    <w:rsid w:val="000F315F"/>
    <w:rsid w:val="000F4B2C"/>
    <w:rsid w:val="000F4C29"/>
    <w:rsid w:val="000F6DE3"/>
    <w:rsid w:val="000F7A7A"/>
    <w:rsid w:val="000F7FE7"/>
    <w:rsid w:val="0010096F"/>
    <w:rsid w:val="001035AE"/>
    <w:rsid w:val="00105FAF"/>
    <w:rsid w:val="001110E3"/>
    <w:rsid w:val="0011305E"/>
    <w:rsid w:val="0011363B"/>
    <w:rsid w:val="00122F92"/>
    <w:rsid w:val="0012489F"/>
    <w:rsid w:val="0013039A"/>
    <w:rsid w:val="00134DF6"/>
    <w:rsid w:val="001356C5"/>
    <w:rsid w:val="00140ED0"/>
    <w:rsid w:val="0014369B"/>
    <w:rsid w:val="001442B5"/>
    <w:rsid w:val="00145CAD"/>
    <w:rsid w:val="001508DB"/>
    <w:rsid w:val="0015093A"/>
    <w:rsid w:val="001509EB"/>
    <w:rsid w:val="00154636"/>
    <w:rsid w:val="00155775"/>
    <w:rsid w:val="00157389"/>
    <w:rsid w:val="00157F02"/>
    <w:rsid w:val="00163DA4"/>
    <w:rsid w:val="0016438A"/>
    <w:rsid w:val="00170B96"/>
    <w:rsid w:val="00170F0D"/>
    <w:rsid w:val="001733E4"/>
    <w:rsid w:val="001738E3"/>
    <w:rsid w:val="00173C31"/>
    <w:rsid w:val="00174F33"/>
    <w:rsid w:val="00181BE0"/>
    <w:rsid w:val="00182EE0"/>
    <w:rsid w:val="001847A5"/>
    <w:rsid w:val="00185B61"/>
    <w:rsid w:val="0019369A"/>
    <w:rsid w:val="00194086"/>
    <w:rsid w:val="001955B1"/>
    <w:rsid w:val="00197A4B"/>
    <w:rsid w:val="001A2B8A"/>
    <w:rsid w:val="001A3177"/>
    <w:rsid w:val="001A4B7E"/>
    <w:rsid w:val="001A57AC"/>
    <w:rsid w:val="001A59BE"/>
    <w:rsid w:val="001A7113"/>
    <w:rsid w:val="001B02D4"/>
    <w:rsid w:val="001B0397"/>
    <w:rsid w:val="001B11AF"/>
    <w:rsid w:val="001B195A"/>
    <w:rsid w:val="001B1C59"/>
    <w:rsid w:val="001B6F51"/>
    <w:rsid w:val="001B7D51"/>
    <w:rsid w:val="001C245B"/>
    <w:rsid w:val="001C4402"/>
    <w:rsid w:val="001C63C3"/>
    <w:rsid w:val="001C767C"/>
    <w:rsid w:val="001D2781"/>
    <w:rsid w:val="001D4677"/>
    <w:rsid w:val="001D5108"/>
    <w:rsid w:val="001E0461"/>
    <w:rsid w:val="001E627E"/>
    <w:rsid w:val="001E7362"/>
    <w:rsid w:val="001F0FDB"/>
    <w:rsid w:val="001F10C6"/>
    <w:rsid w:val="001F4639"/>
    <w:rsid w:val="001F5D34"/>
    <w:rsid w:val="001F756E"/>
    <w:rsid w:val="00200D0A"/>
    <w:rsid w:val="00201980"/>
    <w:rsid w:val="00201B82"/>
    <w:rsid w:val="00202484"/>
    <w:rsid w:val="002026C2"/>
    <w:rsid w:val="00204EB7"/>
    <w:rsid w:val="00205612"/>
    <w:rsid w:val="00212C0D"/>
    <w:rsid w:val="002132D2"/>
    <w:rsid w:val="00216EB3"/>
    <w:rsid w:val="00221335"/>
    <w:rsid w:val="00222CF7"/>
    <w:rsid w:val="002276F5"/>
    <w:rsid w:val="00230B7F"/>
    <w:rsid w:val="00232045"/>
    <w:rsid w:val="002335ED"/>
    <w:rsid w:val="00233A03"/>
    <w:rsid w:val="00235340"/>
    <w:rsid w:val="00236202"/>
    <w:rsid w:val="00242A08"/>
    <w:rsid w:val="00242FA2"/>
    <w:rsid w:val="00243A04"/>
    <w:rsid w:val="00246772"/>
    <w:rsid w:val="002470E8"/>
    <w:rsid w:val="0025095D"/>
    <w:rsid w:val="0025226B"/>
    <w:rsid w:val="00254964"/>
    <w:rsid w:val="00256651"/>
    <w:rsid w:val="0025756C"/>
    <w:rsid w:val="00260B8E"/>
    <w:rsid w:val="002667C8"/>
    <w:rsid w:val="00270D45"/>
    <w:rsid w:val="00270F89"/>
    <w:rsid w:val="00271BA4"/>
    <w:rsid w:val="00271F32"/>
    <w:rsid w:val="002720F0"/>
    <w:rsid w:val="002740B5"/>
    <w:rsid w:val="002744CB"/>
    <w:rsid w:val="002765F2"/>
    <w:rsid w:val="00280605"/>
    <w:rsid w:val="00282826"/>
    <w:rsid w:val="00282F32"/>
    <w:rsid w:val="00283689"/>
    <w:rsid w:val="00285442"/>
    <w:rsid w:val="00285B63"/>
    <w:rsid w:val="00287295"/>
    <w:rsid w:val="00290493"/>
    <w:rsid w:val="00292231"/>
    <w:rsid w:val="0029233A"/>
    <w:rsid w:val="0029300B"/>
    <w:rsid w:val="00293F5B"/>
    <w:rsid w:val="00294007"/>
    <w:rsid w:val="00295FC6"/>
    <w:rsid w:val="00296E2F"/>
    <w:rsid w:val="002974BA"/>
    <w:rsid w:val="002A1011"/>
    <w:rsid w:val="002A1A84"/>
    <w:rsid w:val="002A360A"/>
    <w:rsid w:val="002A3D03"/>
    <w:rsid w:val="002A65F9"/>
    <w:rsid w:val="002B4E28"/>
    <w:rsid w:val="002C4BCF"/>
    <w:rsid w:val="002E1DAF"/>
    <w:rsid w:val="002F0CA0"/>
    <w:rsid w:val="002F1CFD"/>
    <w:rsid w:val="002F1F56"/>
    <w:rsid w:val="002F2E7A"/>
    <w:rsid w:val="002F6BD5"/>
    <w:rsid w:val="00300ED2"/>
    <w:rsid w:val="00305589"/>
    <w:rsid w:val="0030580C"/>
    <w:rsid w:val="00307565"/>
    <w:rsid w:val="00316DDE"/>
    <w:rsid w:val="0031767A"/>
    <w:rsid w:val="00325F5C"/>
    <w:rsid w:val="003278F5"/>
    <w:rsid w:val="00336555"/>
    <w:rsid w:val="003371A8"/>
    <w:rsid w:val="0033732A"/>
    <w:rsid w:val="0034112B"/>
    <w:rsid w:val="00343FCA"/>
    <w:rsid w:val="00345723"/>
    <w:rsid w:val="00346CD4"/>
    <w:rsid w:val="00347D49"/>
    <w:rsid w:val="003512FC"/>
    <w:rsid w:val="003531EE"/>
    <w:rsid w:val="0036432C"/>
    <w:rsid w:val="00364596"/>
    <w:rsid w:val="0036499E"/>
    <w:rsid w:val="0036602C"/>
    <w:rsid w:val="00366189"/>
    <w:rsid w:val="00371933"/>
    <w:rsid w:val="00373131"/>
    <w:rsid w:val="00373923"/>
    <w:rsid w:val="003748E5"/>
    <w:rsid w:val="003749C2"/>
    <w:rsid w:val="00375F00"/>
    <w:rsid w:val="003776C0"/>
    <w:rsid w:val="00377A4D"/>
    <w:rsid w:val="003816FE"/>
    <w:rsid w:val="00394224"/>
    <w:rsid w:val="00395E49"/>
    <w:rsid w:val="00397B45"/>
    <w:rsid w:val="003A3C10"/>
    <w:rsid w:val="003A47C2"/>
    <w:rsid w:val="003A4ACD"/>
    <w:rsid w:val="003A5AB1"/>
    <w:rsid w:val="003B5B7E"/>
    <w:rsid w:val="003C0EAC"/>
    <w:rsid w:val="003C34AB"/>
    <w:rsid w:val="003C3CCD"/>
    <w:rsid w:val="003D0FD3"/>
    <w:rsid w:val="003D1E3D"/>
    <w:rsid w:val="003D2AC6"/>
    <w:rsid w:val="003E35B4"/>
    <w:rsid w:val="003E7BC9"/>
    <w:rsid w:val="003F2ADB"/>
    <w:rsid w:val="003F2BE2"/>
    <w:rsid w:val="003F7083"/>
    <w:rsid w:val="003F73B4"/>
    <w:rsid w:val="00401084"/>
    <w:rsid w:val="004023B0"/>
    <w:rsid w:val="00402CDE"/>
    <w:rsid w:val="004033C1"/>
    <w:rsid w:val="00403760"/>
    <w:rsid w:val="00407355"/>
    <w:rsid w:val="00414491"/>
    <w:rsid w:val="00415E1D"/>
    <w:rsid w:val="00417BC8"/>
    <w:rsid w:val="00420997"/>
    <w:rsid w:val="00420B86"/>
    <w:rsid w:val="0042571E"/>
    <w:rsid w:val="004258BE"/>
    <w:rsid w:val="00425ADA"/>
    <w:rsid w:val="00431132"/>
    <w:rsid w:val="00432C16"/>
    <w:rsid w:val="00433623"/>
    <w:rsid w:val="00434230"/>
    <w:rsid w:val="00434C1D"/>
    <w:rsid w:val="00437512"/>
    <w:rsid w:val="00440474"/>
    <w:rsid w:val="00441606"/>
    <w:rsid w:val="00441ED5"/>
    <w:rsid w:val="0044224B"/>
    <w:rsid w:val="0044660A"/>
    <w:rsid w:val="004472D1"/>
    <w:rsid w:val="00447580"/>
    <w:rsid w:val="004563DC"/>
    <w:rsid w:val="00464637"/>
    <w:rsid w:val="00466C66"/>
    <w:rsid w:val="00467EA9"/>
    <w:rsid w:val="00472576"/>
    <w:rsid w:val="00472C49"/>
    <w:rsid w:val="00474624"/>
    <w:rsid w:val="00476A82"/>
    <w:rsid w:val="00485269"/>
    <w:rsid w:val="00485CDB"/>
    <w:rsid w:val="00486535"/>
    <w:rsid w:val="0049273B"/>
    <w:rsid w:val="0049393F"/>
    <w:rsid w:val="004941B4"/>
    <w:rsid w:val="00494F2A"/>
    <w:rsid w:val="004961A6"/>
    <w:rsid w:val="004974C2"/>
    <w:rsid w:val="004976BB"/>
    <w:rsid w:val="004A1856"/>
    <w:rsid w:val="004A2ED1"/>
    <w:rsid w:val="004A3952"/>
    <w:rsid w:val="004B6605"/>
    <w:rsid w:val="004C35BF"/>
    <w:rsid w:val="004D31F1"/>
    <w:rsid w:val="004D4173"/>
    <w:rsid w:val="004D4937"/>
    <w:rsid w:val="004D5F68"/>
    <w:rsid w:val="004D703F"/>
    <w:rsid w:val="004E21F3"/>
    <w:rsid w:val="004E4A81"/>
    <w:rsid w:val="004E592F"/>
    <w:rsid w:val="004F005C"/>
    <w:rsid w:val="004F0A40"/>
    <w:rsid w:val="004F654D"/>
    <w:rsid w:val="004F6564"/>
    <w:rsid w:val="004F7C7A"/>
    <w:rsid w:val="00500A46"/>
    <w:rsid w:val="00500BF9"/>
    <w:rsid w:val="00500CCF"/>
    <w:rsid w:val="005022B9"/>
    <w:rsid w:val="005039A9"/>
    <w:rsid w:val="005039E6"/>
    <w:rsid w:val="00503A7A"/>
    <w:rsid w:val="00504D6F"/>
    <w:rsid w:val="00506936"/>
    <w:rsid w:val="00510AAA"/>
    <w:rsid w:val="00510E66"/>
    <w:rsid w:val="00511E60"/>
    <w:rsid w:val="00513688"/>
    <w:rsid w:val="005144B7"/>
    <w:rsid w:val="00514D48"/>
    <w:rsid w:val="005200E2"/>
    <w:rsid w:val="0052367B"/>
    <w:rsid w:val="00524804"/>
    <w:rsid w:val="00524CBF"/>
    <w:rsid w:val="00526CE0"/>
    <w:rsid w:val="00531D48"/>
    <w:rsid w:val="00532223"/>
    <w:rsid w:val="00534F2E"/>
    <w:rsid w:val="005461CB"/>
    <w:rsid w:val="0055472E"/>
    <w:rsid w:val="00554EED"/>
    <w:rsid w:val="00556DEF"/>
    <w:rsid w:val="00556F11"/>
    <w:rsid w:val="0056261E"/>
    <w:rsid w:val="005647D4"/>
    <w:rsid w:val="005771B1"/>
    <w:rsid w:val="0057781C"/>
    <w:rsid w:val="00580DEB"/>
    <w:rsid w:val="00581C01"/>
    <w:rsid w:val="00585DF8"/>
    <w:rsid w:val="00592003"/>
    <w:rsid w:val="00597297"/>
    <w:rsid w:val="005A0669"/>
    <w:rsid w:val="005A7CE7"/>
    <w:rsid w:val="005B0B41"/>
    <w:rsid w:val="005B211D"/>
    <w:rsid w:val="005B418E"/>
    <w:rsid w:val="005B42F1"/>
    <w:rsid w:val="005B6B84"/>
    <w:rsid w:val="005C0825"/>
    <w:rsid w:val="005C0F9A"/>
    <w:rsid w:val="005C1B20"/>
    <w:rsid w:val="005C2AA7"/>
    <w:rsid w:val="005C6028"/>
    <w:rsid w:val="005D33D3"/>
    <w:rsid w:val="005D44B3"/>
    <w:rsid w:val="005E1BBE"/>
    <w:rsid w:val="005E3A3C"/>
    <w:rsid w:val="005E512C"/>
    <w:rsid w:val="005E577B"/>
    <w:rsid w:val="005E6B0F"/>
    <w:rsid w:val="005F0917"/>
    <w:rsid w:val="005F39D7"/>
    <w:rsid w:val="005F685F"/>
    <w:rsid w:val="005F75B6"/>
    <w:rsid w:val="005F7A66"/>
    <w:rsid w:val="00603727"/>
    <w:rsid w:val="0060548A"/>
    <w:rsid w:val="0060797E"/>
    <w:rsid w:val="00607C4A"/>
    <w:rsid w:val="00610ED5"/>
    <w:rsid w:val="00611662"/>
    <w:rsid w:val="0061236D"/>
    <w:rsid w:val="0061402E"/>
    <w:rsid w:val="006149B5"/>
    <w:rsid w:val="00622845"/>
    <w:rsid w:val="006234BF"/>
    <w:rsid w:val="00623ACD"/>
    <w:rsid w:val="00625C09"/>
    <w:rsid w:val="006313E0"/>
    <w:rsid w:val="006317CB"/>
    <w:rsid w:val="00632D72"/>
    <w:rsid w:val="0063437F"/>
    <w:rsid w:val="00635DB3"/>
    <w:rsid w:val="006375C3"/>
    <w:rsid w:val="00637D60"/>
    <w:rsid w:val="00651820"/>
    <w:rsid w:val="00651D5E"/>
    <w:rsid w:val="00660EB2"/>
    <w:rsid w:val="0066173A"/>
    <w:rsid w:val="00665A3D"/>
    <w:rsid w:val="0066797C"/>
    <w:rsid w:val="00667AA5"/>
    <w:rsid w:val="00672046"/>
    <w:rsid w:val="006745CD"/>
    <w:rsid w:val="006813F6"/>
    <w:rsid w:val="00681581"/>
    <w:rsid w:val="00681DF2"/>
    <w:rsid w:val="00683B65"/>
    <w:rsid w:val="00686226"/>
    <w:rsid w:val="0069272C"/>
    <w:rsid w:val="00696799"/>
    <w:rsid w:val="006A158A"/>
    <w:rsid w:val="006A1B07"/>
    <w:rsid w:val="006A2F5B"/>
    <w:rsid w:val="006A3240"/>
    <w:rsid w:val="006A3B77"/>
    <w:rsid w:val="006B12D7"/>
    <w:rsid w:val="006B18CF"/>
    <w:rsid w:val="006B1BF7"/>
    <w:rsid w:val="006B4E82"/>
    <w:rsid w:val="006B70AB"/>
    <w:rsid w:val="006B7D64"/>
    <w:rsid w:val="006C1A0C"/>
    <w:rsid w:val="006C2F10"/>
    <w:rsid w:val="006C50A6"/>
    <w:rsid w:val="006C5AA9"/>
    <w:rsid w:val="006C6B2B"/>
    <w:rsid w:val="006C722F"/>
    <w:rsid w:val="006D02F2"/>
    <w:rsid w:val="006D0465"/>
    <w:rsid w:val="006D1EBB"/>
    <w:rsid w:val="006D28DC"/>
    <w:rsid w:val="006D7E8E"/>
    <w:rsid w:val="006E359F"/>
    <w:rsid w:val="006E5A25"/>
    <w:rsid w:val="006F142C"/>
    <w:rsid w:val="006F49D6"/>
    <w:rsid w:val="006F4A44"/>
    <w:rsid w:val="006F5651"/>
    <w:rsid w:val="006F719A"/>
    <w:rsid w:val="007000B2"/>
    <w:rsid w:val="007014BC"/>
    <w:rsid w:val="00702949"/>
    <w:rsid w:val="00706D8E"/>
    <w:rsid w:val="007075B2"/>
    <w:rsid w:val="00710619"/>
    <w:rsid w:val="00710EE4"/>
    <w:rsid w:val="00711BE3"/>
    <w:rsid w:val="00712FD7"/>
    <w:rsid w:val="00715A24"/>
    <w:rsid w:val="007161B5"/>
    <w:rsid w:val="0072159E"/>
    <w:rsid w:val="007228CA"/>
    <w:rsid w:val="00723B67"/>
    <w:rsid w:val="00726538"/>
    <w:rsid w:val="0073123C"/>
    <w:rsid w:val="00734D09"/>
    <w:rsid w:val="00734F7C"/>
    <w:rsid w:val="00735A57"/>
    <w:rsid w:val="00740335"/>
    <w:rsid w:val="00740DE0"/>
    <w:rsid w:val="007415A1"/>
    <w:rsid w:val="0074191F"/>
    <w:rsid w:val="0074243B"/>
    <w:rsid w:val="007432FC"/>
    <w:rsid w:val="007461DF"/>
    <w:rsid w:val="00752CA5"/>
    <w:rsid w:val="007628F5"/>
    <w:rsid w:val="0076555E"/>
    <w:rsid w:val="0076638A"/>
    <w:rsid w:val="007706EA"/>
    <w:rsid w:val="00770805"/>
    <w:rsid w:val="00780C9C"/>
    <w:rsid w:val="007814B9"/>
    <w:rsid w:val="00783C0D"/>
    <w:rsid w:val="00787F8D"/>
    <w:rsid w:val="0079111A"/>
    <w:rsid w:val="00793D2B"/>
    <w:rsid w:val="007A5696"/>
    <w:rsid w:val="007A7801"/>
    <w:rsid w:val="007B456C"/>
    <w:rsid w:val="007B5D18"/>
    <w:rsid w:val="007B77F6"/>
    <w:rsid w:val="007C1603"/>
    <w:rsid w:val="007C1F3F"/>
    <w:rsid w:val="007C32CC"/>
    <w:rsid w:val="007C3FB6"/>
    <w:rsid w:val="007C40A8"/>
    <w:rsid w:val="007C7248"/>
    <w:rsid w:val="007D0A54"/>
    <w:rsid w:val="007D1DE2"/>
    <w:rsid w:val="007D38A0"/>
    <w:rsid w:val="007D39F5"/>
    <w:rsid w:val="007D4584"/>
    <w:rsid w:val="007D4C4E"/>
    <w:rsid w:val="007D68DE"/>
    <w:rsid w:val="007E44C4"/>
    <w:rsid w:val="007E56AF"/>
    <w:rsid w:val="007E778C"/>
    <w:rsid w:val="007F0815"/>
    <w:rsid w:val="007F18ED"/>
    <w:rsid w:val="007F2DA0"/>
    <w:rsid w:val="007F33D3"/>
    <w:rsid w:val="00800FD3"/>
    <w:rsid w:val="00801BDD"/>
    <w:rsid w:val="008026FE"/>
    <w:rsid w:val="008028B7"/>
    <w:rsid w:val="00804684"/>
    <w:rsid w:val="00806366"/>
    <w:rsid w:val="00806DEC"/>
    <w:rsid w:val="00807BC3"/>
    <w:rsid w:val="008109CF"/>
    <w:rsid w:val="00815AC4"/>
    <w:rsid w:val="00822076"/>
    <w:rsid w:val="00825F80"/>
    <w:rsid w:val="008265CE"/>
    <w:rsid w:val="00827CA5"/>
    <w:rsid w:val="008302E6"/>
    <w:rsid w:val="00831D67"/>
    <w:rsid w:val="00832EA6"/>
    <w:rsid w:val="00837593"/>
    <w:rsid w:val="00842468"/>
    <w:rsid w:val="008425BF"/>
    <w:rsid w:val="00843A97"/>
    <w:rsid w:val="00846A68"/>
    <w:rsid w:val="00851917"/>
    <w:rsid w:val="00851AF0"/>
    <w:rsid w:val="008522F2"/>
    <w:rsid w:val="0085231C"/>
    <w:rsid w:val="00852862"/>
    <w:rsid w:val="00866C5A"/>
    <w:rsid w:val="0086716E"/>
    <w:rsid w:val="00871016"/>
    <w:rsid w:val="00872281"/>
    <w:rsid w:val="00872C3B"/>
    <w:rsid w:val="00880C9F"/>
    <w:rsid w:val="008819DC"/>
    <w:rsid w:val="0088387C"/>
    <w:rsid w:val="00884434"/>
    <w:rsid w:val="00891C77"/>
    <w:rsid w:val="0089409B"/>
    <w:rsid w:val="00895B8B"/>
    <w:rsid w:val="00896A83"/>
    <w:rsid w:val="008A01BF"/>
    <w:rsid w:val="008A1DBA"/>
    <w:rsid w:val="008A4A01"/>
    <w:rsid w:val="008A7093"/>
    <w:rsid w:val="008B19B7"/>
    <w:rsid w:val="008B4700"/>
    <w:rsid w:val="008C0624"/>
    <w:rsid w:val="008C1057"/>
    <w:rsid w:val="008C1FAE"/>
    <w:rsid w:val="008C47A0"/>
    <w:rsid w:val="008C6917"/>
    <w:rsid w:val="008D1AA2"/>
    <w:rsid w:val="008D26FA"/>
    <w:rsid w:val="008D3532"/>
    <w:rsid w:val="008D63E5"/>
    <w:rsid w:val="008E0A4B"/>
    <w:rsid w:val="008E5FC3"/>
    <w:rsid w:val="008E76E8"/>
    <w:rsid w:val="008E7ECC"/>
    <w:rsid w:val="008F06BF"/>
    <w:rsid w:val="008F4239"/>
    <w:rsid w:val="008F5F6C"/>
    <w:rsid w:val="00901943"/>
    <w:rsid w:val="00902FC4"/>
    <w:rsid w:val="00911BF1"/>
    <w:rsid w:val="00917F5F"/>
    <w:rsid w:val="00920C82"/>
    <w:rsid w:val="00921D1F"/>
    <w:rsid w:val="0092211F"/>
    <w:rsid w:val="009254BC"/>
    <w:rsid w:val="0092578C"/>
    <w:rsid w:val="0092657C"/>
    <w:rsid w:val="00926B82"/>
    <w:rsid w:val="009309D2"/>
    <w:rsid w:val="00930EA4"/>
    <w:rsid w:val="00932C38"/>
    <w:rsid w:val="009335D0"/>
    <w:rsid w:val="00933E83"/>
    <w:rsid w:val="00933FE5"/>
    <w:rsid w:val="00934054"/>
    <w:rsid w:val="009359F0"/>
    <w:rsid w:val="00936A0C"/>
    <w:rsid w:val="00940D5B"/>
    <w:rsid w:val="009413F9"/>
    <w:rsid w:val="00941DAE"/>
    <w:rsid w:val="00943C79"/>
    <w:rsid w:val="009467D2"/>
    <w:rsid w:val="0094701A"/>
    <w:rsid w:val="00950EAB"/>
    <w:rsid w:val="00951803"/>
    <w:rsid w:val="00951C7E"/>
    <w:rsid w:val="0095671F"/>
    <w:rsid w:val="00956E0E"/>
    <w:rsid w:val="0096150A"/>
    <w:rsid w:val="00963878"/>
    <w:rsid w:val="00965768"/>
    <w:rsid w:val="0097361C"/>
    <w:rsid w:val="00973E56"/>
    <w:rsid w:val="009752B2"/>
    <w:rsid w:val="00975D0F"/>
    <w:rsid w:val="009760F3"/>
    <w:rsid w:val="00976BAC"/>
    <w:rsid w:val="00981928"/>
    <w:rsid w:val="00981A3B"/>
    <w:rsid w:val="00982946"/>
    <w:rsid w:val="0098429B"/>
    <w:rsid w:val="00985402"/>
    <w:rsid w:val="00985833"/>
    <w:rsid w:val="00985F33"/>
    <w:rsid w:val="00987269"/>
    <w:rsid w:val="00992EC5"/>
    <w:rsid w:val="009938D8"/>
    <w:rsid w:val="009A0736"/>
    <w:rsid w:val="009A2178"/>
    <w:rsid w:val="009A2641"/>
    <w:rsid w:val="009A4470"/>
    <w:rsid w:val="009A53D1"/>
    <w:rsid w:val="009A5886"/>
    <w:rsid w:val="009A5B93"/>
    <w:rsid w:val="009A5D04"/>
    <w:rsid w:val="009A66E1"/>
    <w:rsid w:val="009B1559"/>
    <w:rsid w:val="009B1FC9"/>
    <w:rsid w:val="009B4A54"/>
    <w:rsid w:val="009B4A5A"/>
    <w:rsid w:val="009D0EF5"/>
    <w:rsid w:val="009D20E6"/>
    <w:rsid w:val="009D56E8"/>
    <w:rsid w:val="009E2B67"/>
    <w:rsid w:val="009E6378"/>
    <w:rsid w:val="009F0ADF"/>
    <w:rsid w:val="009F1D75"/>
    <w:rsid w:val="009F5F55"/>
    <w:rsid w:val="009F79D9"/>
    <w:rsid w:val="00A00191"/>
    <w:rsid w:val="00A01860"/>
    <w:rsid w:val="00A026E7"/>
    <w:rsid w:val="00A0313B"/>
    <w:rsid w:val="00A036EA"/>
    <w:rsid w:val="00A044F4"/>
    <w:rsid w:val="00A04536"/>
    <w:rsid w:val="00A05F67"/>
    <w:rsid w:val="00A06A7C"/>
    <w:rsid w:val="00A11B4C"/>
    <w:rsid w:val="00A13677"/>
    <w:rsid w:val="00A17ED7"/>
    <w:rsid w:val="00A22400"/>
    <w:rsid w:val="00A22C25"/>
    <w:rsid w:val="00A2499B"/>
    <w:rsid w:val="00A30BA2"/>
    <w:rsid w:val="00A32300"/>
    <w:rsid w:val="00A33CE5"/>
    <w:rsid w:val="00A34026"/>
    <w:rsid w:val="00A35026"/>
    <w:rsid w:val="00A3652B"/>
    <w:rsid w:val="00A442CF"/>
    <w:rsid w:val="00A45390"/>
    <w:rsid w:val="00A47776"/>
    <w:rsid w:val="00A50FF4"/>
    <w:rsid w:val="00A558C4"/>
    <w:rsid w:val="00A571C8"/>
    <w:rsid w:val="00A6003B"/>
    <w:rsid w:val="00A6323D"/>
    <w:rsid w:val="00A647C5"/>
    <w:rsid w:val="00A64FAE"/>
    <w:rsid w:val="00A67C82"/>
    <w:rsid w:val="00A67D8D"/>
    <w:rsid w:val="00A67E09"/>
    <w:rsid w:val="00A80DF6"/>
    <w:rsid w:val="00A842CA"/>
    <w:rsid w:val="00A84D8A"/>
    <w:rsid w:val="00A857BB"/>
    <w:rsid w:val="00A87D9B"/>
    <w:rsid w:val="00A95083"/>
    <w:rsid w:val="00A95D1C"/>
    <w:rsid w:val="00AB03DB"/>
    <w:rsid w:val="00AB2BD1"/>
    <w:rsid w:val="00AB3A2D"/>
    <w:rsid w:val="00AB44C8"/>
    <w:rsid w:val="00AC0E27"/>
    <w:rsid w:val="00AC22FE"/>
    <w:rsid w:val="00AC2435"/>
    <w:rsid w:val="00AC2E66"/>
    <w:rsid w:val="00AC5842"/>
    <w:rsid w:val="00AC667B"/>
    <w:rsid w:val="00AC66F0"/>
    <w:rsid w:val="00AC7BB4"/>
    <w:rsid w:val="00AC7D55"/>
    <w:rsid w:val="00AD1018"/>
    <w:rsid w:val="00AD1C2C"/>
    <w:rsid w:val="00AD21A3"/>
    <w:rsid w:val="00AD46E7"/>
    <w:rsid w:val="00AE438C"/>
    <w:rsid w:val="00AE536E"/>
    <w:rsid w:val="00AE5393"/>
    <w:rsid w:val="00AE54D4"/>
    <w:rsid w:val="00B01241"/>
    <w:rsid w:val="00B0199B"/>
    <w:rsid w:val="00B021FD"/>
    <w:rsid w:val="00B02E6B"/>
    <w:rsid w:val="00B049F2"/>
    <w:rsid w:val="00B04CA9"/>
    <w:rsid w:val="00B07385"/>
    <w:rsid w:val="00B07CB8"/>
    <w:rsid w:val="00B14DAB"/>
    <w:rsid w:val="00B15396"/>
    <w:rsid w:val="00B200EF"/>
    <w:rsid w:val="00B213B0"/>
    <w:rsid w:val="00B21B2D"/>
    <w:rsid w:val="00B236CB"/>
    <w:rsid w:val="00B239A8"/>
    <w:rsid w:val="00B30DB6"/>
    <w:rsid w:val="00B330C5"/>
    <w:rsid w:val="00B36DC8"/>
    <w:rsid w:val="00B400DA"/>
    <w:rsid w:val="00B428FB"/>
    <w:rsid w:val="00B43C99"/>
    <w:rsid w:val="00B44686"/>
    <w:rsid w:val="00B47065"/>
    <w:rsid w:val="00B4757B"/>
    <w:rsid w:val="00B50779"/>
    <w:rsid w:val="00B50D7F"/>
    <w:rsid w:val="00B5711C"/>
    <w:rsid w:val="00B57858"/>
    <w:rsid w:val="00B61E36"/>
    <w:rsid w:val="00B62FEA"/>
    <w:rsid w:val="00B679F6"/>
    <w:rsid w:val="00B74DE4"/>
    <w:rsid w:val="00B80A72"/>
    <w:rsid w:val="00B81F87"/>
    <w:rsid w:val="00B84131"/>
    <w:rsid w:val="00B87E8C"/>
    <w:rsid w:val="00B9245F"/>
    <w:rsid w:val="00B925AF"/>
    <w:rsid w:val="00B93E71"/>
    <w:rsid w:val="00B94814"/>
    <w:rsid w:val="00B95FB5"/>
    <w:rsid w:val="00B96B39"/>
    <w:rsid w:val="00B97BFA"/>
    <w:rsid w:val="00BA0C7A"/>
    <w:rsid w:val="00BA5EC3"/>
    <w:rsid w:val="00BB18FB"/>
    <w:rsid w:val="00BB3025"/>
    <w:rsid w:val="00BB36D2"/>
    <w:rsid w:val="00BB478D"/>
    <w:rsid w:val="00BB76C2"/>
    <w:rsid w:val="00BC0955"/>
    <w:rsid w:val="00BC0C11"/>
    <w:rsid w:val="00BC30A5"/>
    <w:rsid w:val="00BC37FB"/>
    <w:rsid w:val="00BC3831"/>
    <w:rsid w:val="00BC4476"/>
    <w:rsid w:val="00BC77ED"/>
    <w:rsid w:val="00BD28F6"/>
    <w:rsid w:val="00BD6511"/>
    <w:rsid w:val="00BE0849"/>
    <w:rsid w:val="00BE4F36"/>
    <w:rsid w:val="00BE4F86"/>
    <w:rsid w:val="00BF01D4"/>
    <w:rsid w:val="00BF2C48"/>
    <w:rsid w:val="00BF41B9"/>
    <w:rsid w:val="00BF6055"/>
    <w:rsid w:val="00C012C6"/>
    <w:rsid w:val="00C01E1E"/>
    <w:rsid w:val="00C032EC"/>
    <w:rsid w:val="00C05F0D"/>
    <w:rsid w:val="00C1036F"/>
    <w:rsid w:val="00C10A1A"/>
    <w:rsid w:val="00C11206"/>
    <w:rsid w:val="00C14998"/>
    <w:rsid w:val="00C1576A"/>
    <w:rsid w:val="00C20641"/>
    <w:rsid w:val="00C216F3"/>
    <w:rsid w:val="00C21BFA"/>
    <w:rsid w:val="00C24528"/>
    <w:rsid w:val="00C246A8"/>
    <w:rsid w:val="00C31D27"/>
    <w:rsid w:val="00C370C8"/>
    <w:rsid w:val="00C37642"/>
    <w:rsid w:val="00C44E7C"/>
    <w:rsid w:val="00C46E08"/>
    <w:rsid w:val="00C522D9"/>
    <w:rsid w:val="00C54626"/>
    <w:rsid w:val="00C64B9E"/>
    <w:rsid w:val="00C65577"/>
    <w:rsid w:val="00C66FA6"/>
    <w:rsid w:val="00C67439"/>
    <w:rsid w:val="00C73782"/>
    <w:rsid w:val="00C752C0"/>
    <w:rsid w:val="00C756DE"/>
    <w:rsid w:val="00C761DE"/>
    <w:rsid w:val="00C819E8"/>
    <w:rsid w:val="00C81A90"/>
    <w:rsid w:val="00C85121"/>
    <w:rsid w:val="00C855D2"/>
    <w:rsid w:val="00C873D1"/>
    <w:rsid w:val="00C92B9C"/>
    <w:rsid w:val="00C949DE"/>
    <w:rsid w:val="00CA00F3"/>
    <w:rsid w:val="00CA4F0D"/>
    <w:rsid w:val="00CA66BC"/>
    <w:rsid w:val="00CA7AD8"/>
    <w:rsid w:val="00CB059C"/>
    <w:rsid w:val="00CB7BF1"/>
    <w:rsid w:val="00CB7C42"/>
    <w:rsid w:val="00CC1212"/>
    <w:rsid w:val="00CC55EC"/>
    <w:rsid w:val="00CD1DF6"/>
    <w:rsid w:val="00CD216F"/>
    <w:rsid w:val="00CD4EB2"/>
    <w:rsid w:val="00CD6D4D"/>
    <w:rsid w:val="00CD7C1C"/>
    <w:rsid w:val="00CD7D66"/>
    <w:rsid w:val="00CE46AA"/>
    <w:rsid w:val="00CE729B"/>
    <w:rsid w:val="00CE79AA"/>
    <w:rsid w:val="00CE79B1"/>
    <w:rsid w:val="00CF1545"/>
    <w:rsid w:val="00CF2AA9"/>
    <w:rsid w:val="00CF3436"/>
    <w:rsid w:val="00CF3865"/>
    <w:rsid w:val="00CF4FCC"/>
    <w:rsid w:val="00CF51D7"/>
    <w:rsid w:val="00CF7F02"/>
    <w:rsid w:val="00D00F53"/>
    <w:rsid w:val="00D031B4"/>
    <w:rsid w:val="00D03997"/>
    <w:rsid w:val="00D04DAF"/>
    <w:rsid w:val="00D06F41"/>
    <w:rsid w:val="00D10072"/>
    <w:rsid w:val="00D13581"/>
    <w:rsid w:val="00D14591"/>
    <w:rsid w:val="00D23615"/>
    <w:rsid w:val="00D3535D"/>
    <w:rsid w:val="00D44BC4"/>
    <w:rsid w:val="00D44BD6"/>
    <w:rsid w:val="00D54D76"/>
    <w:rsid w:val="00D55603"/>
    <w:rsid w:val="00D56742"/>
    <w:rsid w:val="00D56CE2"/>
    <w:rsid w:val="00D571D5"/>
    <w:rsid w:val="00D57BFE"/>
    <w:rsid w:val="00D60605"/>
    <w:rsid w:val="00D60DB6"/>
    <w:rsid w:val="00D61A66"/>
    <w:rsid w:val="00D63C41"/>
    <w:rsid w:val="00D64303"/>
    <w:rsid w:val="00D64496"/>
    <w:rsid w:val="00D663EE"/>
    <w:rsid w:val="00D673DF"/>
    <w:rsid w:val="00D7338D"/>
    <w:rsid w:val="00D756D5"/>
    <w:rsid w:val="00D77441"/>
    <w:rsid w:val="00D80BA6"/>
    <w:rsid w:val="00D85F82"/>
    <w:rsid w:val="00D86C51"/>
    <w:rsid w:val="00D9106E"/>
    <w:rsid w:val="00D977CA"/>
    <w:rsid w:val="00D97D66"/>
    <w:rsid w:val="00DA2520"/>
    <w:rsid w:val="00DA3F8F"/>
    <w:rsid w:val="00DA41B8"/>
    <w:rsid w:val="00DA527F"/>
    <w:rsid w:val="00DB1876"/>
    <w:rsid w:val="00DB660C"/>
    <w:rsid w:val="00DB690F"/>
    <w:rsid w:val="00DB6A50"/>
    <w:rsid w:val="00DB7C7C"/>
    <w:rsid w:val="00DB7C88"/>
    <w:rsid w:val="00DC06AB"/>
    <w:rsid w:val="00DC0FEB"/>
    <w:rsid w:val="00DC2020"/>
    <w:rsid w:val="00DC2791"/>
    <w:rsid w:val="00DC7C74"/>
    <w:rsid w:val="00DD30BC"/>
    <w:rsid w:val="00DD4FFC"/>
    <w:rsid w:val="00DE2FCB"/>
    <w:rsid w:val="00DE3A70"/>
    <w:rsid w:val="00DF21BE"/>
    <w:rsid w:val="00DF37D3"/>
    <w:rsid w:val="00DF3D23"/>
    <w:rsid w:val="00DF5070"/>
    <w:rsid w:val="00E01031"/>
    <w:rsid w:val="00E01A40"/>
    <w:rsid w:val="00E01EE2"/>
    <w:rsid w:val="00E023F7"/>
    <w:rsid w:val="00E02B31"/>
    <w:rsid w:val="00E04415"/>
    <w:rsid w:val="00E0579C"/>
    <w:rsid w:val="00E05D56"/>
    <w:rsid w:val="00E11585"/>
    <w:rsid w:val="00E11633"/>
    <w:rsid w:val="00E13706"/>
    <w:rsid w:val="00E1429F"/>
    <w:rsid w:val="00E16C12"/>
    <w:rsid w:val="00E16EBC"/>
    <w:rsid w:val="00E202F9"/>
    <w:rsid w:val="00E213AE"/>
    <w:rsid w:val="00E32D73"/>
    <w:rsid w:val="00E34705"/>
    <w:rsid w:val="00E40563"/>
    <w:rsid w:val="00E418CA"/>
    <w:rsid w:val="00E42F41"/>
    <w:rsid w:val="00E43983"/>
    <w:rsid w:val="00E44AC1"/>
    <w:rsid w:val="00E4634A"/>
    <w:rsid w:val="00E47107"/>
    <w:rsid w:val="00E502D8"/>
    <w:rsid w:val="00E517DE"/>
    <w:rsid w:val="00E56A28"/>
    <w:rsid w:val="00E56F3A"/>
    <w:rsid w:val="00E60937"/>
    <w:rsid w:val="00E6213C"/>
    <w:rsid w:val="00E62147"/>
    <w:rsid w:val="00E63B1A"/>
    <w:rsid w:val="00E6401A"/>
    <w:rsid w:val="00E6435D"/>
    <w:rsid w:val="00E66B72"/>
    <w:rsid w:val="00E7447B"/>
    <w:rsid w:val="00E7568C"/>
    <w:rsid w:val="00E76AAE"/>
    <w:rsid w:val="00E76FDE"/>
    <w:rsid w:val="00E824A4"/>
    <w:rsid w:val="00E835E5"/>
    <w:rsid w:val="00E84550"/>
    <w:rsid w:val="00E902CD"/>
    <w:rsid w:val="00E9149F"/>
    <w:rsid w:val="00E94B41"/>
    <w:rsid w:val="00E94FDA"/>
    <w:rsid w:val="00E97223"/>
    <w:rsid w:val="00E97933"/>
    <w:rsid w:val="00EA4E18"/>
    <w:rsid w:val="00EA4FD6"/>
    <w:rsid w:val="00EA4FF5"/>
    <w:rsid w:val="00EA540B"/>
    <w:rsid w:val="00EB03EB"/>
    <w:rsid w:val="00EB0BF3"/>
    <w:rsid w:val="00EB462D"/>
    <w:rsid w:val="00EB4A3B"/>
    <w:rsid w:val="00EB537B"/>
    <w:rsid w:val="00EB7082"/>
    <w:rsid w:val="00EB7ADD"/>
    <w:rsid w:val="00EC084E"/>
    <w:rsid w:val="00EC1868"/>
    <w:rsid w:val="00EC379E"/>
    <w:rsid w:val="00EC4379"/>
    <w:rsid w:val="00EC586E"/>
    <w:rsid w:val="00ED0675"/>
    <w:rsid w:val="00ED0DF2"/>
    <w:rsid w:val="00ED4E74"/>
    <w:rsid w:val="00EE094A"/>
    <w:rsid w:val="00EE148A"/>
    <w:rsid w:val="00EE4061"/>
    <w:rsid w:val="00EE7DF0"/>
    <w:rsid w:val="00EF0906"/>
    <w:rsid w:val="00EF0B01"/>
    <w:rsid w:val="00EF152A"/>
    <w:rsid w:val="00EF3593"/>
    <w:rsid w:val="00EF58F6"/>
    <w:rsid w:val="00EF7B0B"/>
    <w:rsid w:val="00F04E58"/>
    <w:rsid w:val="00F07919"/>
    <w:rsid w:val="00F11781"/>
    <w:rsid w:val="00F13C23"/>
    <w:rsid w:val="00F13E82"/>
    <w:rsid w:val="00F13E84"/>
    <w:rsid w:val="00F213CE"/>
    <w:rsid w:val="00F22D1F"/>
    <w:rsid w:val="00F24952"/>
    <w:rsid w:val="00F26243"/>
    <w:rsid w:val="00F271AF"/>
    <w:rsid w:val="00F274EB"/>
    <w:rsid w:val="00F27D61"/>
    <w:rsid w:val="00F319CA"/>
    <w:rsid w:val="00F326C2"/>
    <w:rsid w:val="00F408ED"/>
    <w:rsid w:val="00F41148"/>
    <w:rsid w:val="00F442F1"/>
    <w:rsid w:val="00F45887"/>
    <w:rsid w:val="00F52127"/>
    <w:rsid w:val="00F534C2"/>
    <w:rsid w:val="00F5424C"/>
    <w:rsid w:val="00F54470"/>
    <w:rsid w:val="00F57789"/>
    <w:rsid w:val="00F64147"/>
    <w:rsid w:val="00F76809"/>
    <w:rsid w:val="00F83C44"/>
    <w:rsid w:val="00F85559"/>
    <w:rsid w:val="00F92E28"/>
    <w:rsid w:val="00F95682"/>
    <w:rsid w:val="00F95A37"/>
    <w:rsid w:val="00F9615B"/>
    <w:rsid w:val="00F97907"/>
    <w:rsid w:val="00FA1B8B"/>
    <w:rsid w:val="00FB0358"/>
    <w:rsid w:val="00FB0749"/>
    <w:rsid w:val="00FB7191"/>
    <w:rsid w:val="00FB76A8"/>
    <w:rsid w:val="00FC5653"/>
    <w:rsid w:val="00FC5FD1"/>
    <w:rsid w:val="00FD09F5"/>
    <w:rsid w:val="00FD1735"/>
    <w:rsid w:val="00FD25F1"/>
    <w:rsid w:val="00FD31C7"/>
    <w:rsid w:val="00FD420A"/>
    <w:rsid w:val="00FD529A"/>
    <w:rsid w:val="00FE25D6"/>
    <w:rsid w:val="00FE4CF9"/>
    <w:rsid w:val="00FF2496"/>
    <w:rsid w:val="00FF2C9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EED64"/>
  <w15:docId w15:val="{716AD1C3-7696-45E7-88B0-7CAB317BF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425BF"/>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7D1DE2"/>
    <w:pPr>
      <w:tabs>
        <w:tab w:val="center" w:pos="4536"/>
        <w:tab w:val="right" w:pos="9072"/>
      </w:tabs>
    </w:pPr>
  </w:style>
  <w:style w:type="character" w:customStyle="1" w:styleId="HlavikaChar">
    <w:name w:val="Hlavička Char"/>
    <w:basedOn w:val="Predvolenpsmoodseku"/>
    <w:link w:val="Hlavika"/>
    <w:uiPriority w:val="99"/>
    <w:rsid w:val="007D1DE2"/>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7D1DE2"/>
    <w:pPr>
      <w:tabs>
        <w:tab w:val="center" w:pos="4536"/>
        <w:tab w:val="right" w:pos="9072"/>
      </w:tabs>
    </w:pPr>
  </w:style>
  <w:style w:type="character" w:customStyle="1" w:styleId="PtaChar">
    <w:name w:val="Päta Char"/>
    <w:basedOn w:val="Predvolenpsmoodseku"/>
    <w:link w:val="Pta"/>
    <w:uiPriority w:val="99"/>
    <w:rsid w:val="007D1DE2"/>
    <w:rPr>
      <w:rFonts w:ascii="Times New Roman" w:eastAsia="Times New Roman" w:hAnsi="Times New Roman" w:cs="Times New Roman"/>
      <w:sz w:val="24"/>
      <w:szCs w:val="24"/>
      <w:lang w:eastAsia="sk-SK"/>
    </w:rPr>
  </w:style>
  <w:style w:type="paragraph" w:customStyle="1" w:styleId="Default">
    <w:name w:val="Default"/>
    <w:rsid w:val="007D1DE2"/>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y"/>
    <w:link w:val="TextbublinyChar"/>
    <w:uiPriority w:val="99"/>
    <w:semiHidden/>
    <w:unhideWhenUsed/>
    <w:rsid w:val="008C69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8C6917"/>
    <w:rPr>
      <w:rFonts w:ascii="Segoe UI" w:eastAsia="Times New Roman" w:hAnsi="Segoe UI" w:cs="Segoe UI"/>
      <w:sz w:val="18"/>
      <w:szCs w:val="18"/>
      <w:lang w:eastAsia="sk-SK"/>
    </w:rPr>
  </w:style>
  <w:style w:type="paragraph" w:styleId="Textpoznmkypodiarou">
    <w:name w:val="footnote text"/>
    <w:basedOn w:val="Normlny"/>
    <w:link w:val="TextpoznmkypodiarouChar"/>
    <w:uiPriority w:val="99"/>
    <w:unhideWhenUsed/>
    <w:rsid w:val="00EB0BF3"/>
    <w:rPr>
      <w:sz w:val="20"/>
      <w:szCs w:val="20"/>
    </w:rPr>
  </w:style>
  <w:style w:type="character" w:customStyle="1" w:styleId="TextpoznmkypodiarouChar">
    <w:name w:val="Text poznámky pod čiarou Char"/>
    <w:basedOn w:val="Predvolenpsmoodseku"/>
    <w:link w:val="Textpoznmkypodiarou"/>
    <w:uiPriority w:val="99"/>
    <w:rsid w:val="00EB0BF3"/>
    <w:rPr>
      <w:rFonts w:ascii="Times New Roman" w:eastAsia="Times New Roman" w:hAnsi="Times New Roman" w:cs="Times New Roman"/>
      <w:sz w:val="20"/>
      <w:szCs w:val="20"/>
      <w:lang w:eastAsia="sk-SK"/>
    </w:rPr>
  </w:style>
  <w:style w:type="character" w:styleId="Odkaznapoznmkupodiarou">
    <w:name w:val="footnote reference"/>
    <w:basedOn w:val="Predvolenpsmoodseku"/>
    <w:uiPriority w:val="99"/>
    <w:semiHidden/>
    <w:unhideWhenUsed/>
    <w:rsid w:val="00EB0BF3"/>
    <w:rPr>
      <w:vertAlign w:val="superscript"/>
    </w:rPr>
  </w:style>
  <w:style w:type="character" w:styleId="Hypertextovprepojenie">
    <w:name w:val="Hyperlink"/>
    <w:basedOn w:val="Predvolenpsmoodseku"/>
    <w:uiPriority w:val="99"/>
    <w:unhideWhenUsed/>
    <w:rsid w:val="008F06BF"/>
    <w:rPr>
      <w:color w:val="0563C1" w:themeColor="hyperlink"/>
      <w:u w:val="single"/>
    </w:rPr>
  </w:style>
  <w:style w:type="character" w:styleId="PouitHypertextovPrepojenie">
    <w:name w:val="FollowedHyperlink"/>
    <w:basedOn w:val="Predvolenpsmoodseku"/>
    <w:uiPriority w:val="99"/>
    <w:semiHidden/>
    <w:unhideWhenUsed/>
    <w:rsid w:val="008F06BF"/>
    <w:rPr>
      <w:color w:val="954F72" w:themeColor="followedHyperlink"/>
      <w:u w:val="single"/>
    </w:rPr>
  </w:style>
  <w:style w:type="paragraph" w:styleId="Odsekzoznamu">
    <w:name w:val="List Paragraph"/>
    <w:basedOn w:val="Normlny"/>
    <w:uiPriority w:val="34"/>
    <w:qFormat/>
    <w:rsid w:val="0002107F"/>
    <w:pPr>
      <w:ind w:left="720"/>
      <w:contextualSpacing/>
    </w:pPr>
  </w:style>
  <w:style w:type="character" w:styleId="Odkaznakomentr">
    <w:name w:val="annotation reference"/>
    <w:basedOn w:val="Predvolenpsmoodseku"/>
    <w:uiPriority w:val="99"/>
    <w:semiHidden/>
    <w:unhideWhenUsed/>
    <w:rsid w:val="00866C5A"/>
    <w:rPr>
      <w:sz w:val="16"/>
      <w:szCs w:val="16"/>
    </w:rPr>
  </w:style>
  <w:style w:type="paragraph" w:styleId="Textkomentra">
    <w:name w:val="annotation text"/>
    <w:basedOn w:val="Normlny"/>
    <w:link w:val="TextkomentraChar"/>
    <w:uiPriority w:val="99"/>
    <w:semiHidden/>
    <w:unhideWhenUsed/>
    <w:rsid w:val="00866C5A"/>
    <w:rPr>
      <w:sz w:val="20"/>
      <w:szCs w:val="20"/>
    </w:rPr>
  </w:style>
  <w:style w:type="character" w:customStyle="1" w:styleId="TextkomentraChar">
    <w:name w:val="Text komentára Char"/>
    <w:basedOn w:val="Predvolenpsmoodseku"/>
    <w:link w:val="Textkomentra"/>
    <w:uiPriority w:val="99"/>
    <w:semiHidden/>
    <w:rsid w:val="00866C5A"/>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866C5A"/>
    <w:rPr>
      <w:b/>
      <w:bCs/>
    </w:rPr>
  </w:style>
  <w:style w:type="character" w:customStyle="1" w:styleId="PredmetkomentraChar">
    <w:name w:val="Predmet komentára Char"/>
    <w:basedOn w:val="TextkomentraChar"/>
    <w:link w:val="Predmetkomentra"/>
    <w:uiPriority w:val="99"/>
    <w:semiHidden/>
    <w:rsid w:val="00866C5A"/>
    <w:rPr>
      <w:rFonts w:ascii="Times New Roman" w:eastAsia="Times New Roman" w:hAnsi="Times New Roman" w:cs="Times New Roman"/>
      <w:b/>
      <w:bCs/>
      <w:sz w:val="20"/>
      <w:szCs w:val="20"/>
      <w:lang w:eastAsia="sk-SK"/>
    </w:rPr>
  </w:style>
  <w:style w:type="table" w:styleId="Mriekatabuky">
    <w:name w:val="Table Grid"/>
    <w:basedOn w:val="Normlnatabuka"/>
    <w:uiPriority w:val="39"/>
    <w:rsid w:val="00051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5B418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rso.gov.sk" TargetMode="Externa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lyn@urso.gov.s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CBF73F32EA59F4981A9F595DBC2E1C9" ma:contentTypeVersion="2" ma:contentTypeDescription="Umožňuje vytvoriť nový dokument." ma:contentTypeScope="" ma:versionID="d4a566b012a264e236af0139539804d8">
  <xsd:schema xmlns:xsd="http://www.w3.org/2001/XMLSchema" xmlns:xs="http://www.w3.org/2001/XMLSchema" xmlns:p="http://schemas.microsoft.com/office/2006/metadata/properties" xmlns:ns2="866d6e72-fa6c-4dc1-b7b0-660bcfe99e89" targetNamespace="http://schemas.microsoft.com/office/2006/metadata/properties" ma:root="true" ma:fieldsID="eb48ff0504c9519f7d6f1bef9718e874" ns2:_="">
    <xsd:import namespace="866d6e72-fa6c-4dc1-b7b0-660bcfe99e89"/>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6d6e72-fa6c-4dc1-b7b0-660bcfe99e89"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A2532-2150-4E6B-9502-48AF41EF4F3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95B046C-C19C-4FA9-8FBA-418C00656780}">
  <ds:schemaRefs>
    <ds:schemaRef ds:uri="http://schemas.microsoft.com/sharepoint/v3/contenttype/forms"/>
  </ds:schemaRefs>
</ds:datastoreItem>
</file>

<file path=customXml/itemProps3.xml><?xml version="1.0" encoding="utf-8"?>
<ds:datastoreItem xmlns:ds="http://schemas.openxmlformats.org/officeDocument/2006/customXml" ds:itemID="{10E7034D-E1BD-4974-931F-010DD8815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6d6e72-fa6c-4dc1-b7b0-660bcfe99e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A953CE-22C2-4A91-8550-E603B0F4E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2233</Words>
  <Characters>12732</Characters>
  <Application>Microsoft Office Word</Application>
  <DocSecurity>0</DocSecurity>
  <Lines>106</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on discounts, multipliers and seasonal factors in accordance with Commission Regulation (EU) 2017/460 of 16 March 2017 establishing a network code on harmonised transmission tariff structures for gas (hereinafter also referred to as the “Consultation” or “Consultation Document”)</dc:title>
  <dc:subject/>
  <dc:creator>pobisova</dc:creator>
  <cp:keywords/>
  <dc:description/>
  <cp:lastModifiedBy>oros</cp:lastModifiedBy>
  <cp:revision>7</cp:revision>
  <cp:lastPrinted>2018-05-24T12:03:00Z</cp:lastPrinted>
  <dcterms:created xsi:type="dcterms:W3CDTF">2025-10-10T05:46:00Z</dcterms:created>
  <dcterms:modified xsi:type="dcterms:W3CDTF">2025-10-10T07:58:00Z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0x010100FCBF73F32EA59F4981A9F595DBC2E1C9</vt:lpwstr>
  </property>
</Properties>
</file>